
<file path=[Content_Types].xml><?xml version="1.0" encoding="utf-8"?>
<Types xmlns="http://schemas.openxmlformats.org/package/2006/content-types">
  <Default Extension="xml" ContentType="application/xml"/>
  <Default Extension="emf" ContentType="image/x-e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spacing w:line="70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六盘水市成品油（气/氢）分销体系</w:t>
      </w:r>
      <w:r>
        <w:rPr>
          <w:rFonts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十五五</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发展规划</w:t>
      </w: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ind w:firstLine="0" w:firstLineChars="0"/>
        <w:jc w:val="center"/>
        <w:rPr>
          <w:rFonts w:ascii="方正小标宋简体" w:eastAsia="方正小标宋简体"/>
          <w:sz w:val="36"/>
          <w:szCs w:val="40"/>
        </w:rPr>
      </w:pPr>
    </w:p>
    <w:p>
      <w:pPr>
        <w:spacing w:line="60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北京佰瑞咨询服务有限公司</w:t>
      </w:r>
    </w:p>
    <w:p>
      <w:pPr>
        <w:spacing w:line="600" w:lineRule="exact"/>
        <w:ind w:firstLine="0" w:firstLineChars="0"/>
        <w:jc w:val="center"/>
        <w:rPr>
          <w:rFonts w:hint="eastAsia" w:ascii="方正小标宋简体" w:hAnsi="方正小标宋简体" w:eastAsia="方正小标宋简体" w:cs="方正小标宋简体"/>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2098" w:right="1417" w:bottom="1984" w:left="1587" w:header="851" w:footer="992" w:gutter="0"/>
          <w:cols w:space="425" w:num="1"/>
          <w:docGrid w:type="lines" w:linePitch="312" w:charSpace="0"/>
        </w:sectPr>
      </w:pPr>
      <w:r>
        <w:rPr>
          <w:rFonts w:hint="eastAsia" w:ascii="方正小标宋简体" w:hAnsi="方正小标宋简体" w:eastAsia="方正小标宋简体" w:cs="方正小标宋简体"/>
          <w:sz w:val="36"/>
          <w:szCs w:val="36"/>
        </w:rPr>
        <w:t>2026年8月</w:t>
      </w:r>
    </w:p>
    <w:sdt>
      <w:sdtPr>
        <w:rPr>
          <w:b/>
          <w:bCs/>
          <w:lang w:val="zh-CN"/>
        </w:rPr>
        <w:id w:val="548112437"/>
        <w:docPartObj>
          <w:docPartGallery w:val="Table of Contents"/>
          <w:docPartUnique/>
        </w:docPartObj>
      </w:sdtPr>
      <w:sdtEndPr>
        <w:rPr>
          <w:b/>
          <w:bCs/>
          <w:lang w:val="zh-CN"/>
        </w:rPr>
      </w:sdtEndPr>
      <w:sdtContent>
        <w:p>
          <w:pPr>
            <w:ind w:firstLine="643"/>
            <w:jc w:val="center"/>
            <w:rPr>
              <w:rFonts w:hint="eastAsia" w:ascii="黑体" w:hAnsi="黑体" w:eastAsia="黑体"/>
              <w:b/>
              <w:bCs/>
            </w:rPr>
          </w:pPr>
          <w:bookmarkStart w:id="0" w:name="_Toc228174631"/>
          <w:r>
            <w:rPr>
              <w:rFonts w:ascii="黑体" w:hAnsi="黑体" w:eastAsia="黑体"/>
              <w:b/>
              <w:bCs/>
              <w:lang w:val="zh-CN"/>
            </w:rPr>
            <w:t>目</w:t>
          </w:r>
          <w:r>
            <w:rPr>
              <w:rFonts w:hint="eastAsia" w:ascii="黑体" w:hAnsi="黑体" w:eastAsia="黑体"/>
              <w:b/>
              <w:bCs/>
            </w:rPr>
            <w:t xml:space="preserve">  </w:t>
          </w:r>
          <w:r>
            <w:rPr>
              <w:rFonts w:ascii="黑体" w:hAnsi="黑体" w:eastAsia="黑体"/>
              <w:b/>
              <w:bCs/>
              <w:lang w:val="zh-CN"/>
            </w:rPr>
            <w:t>录</w:t>
          </w:r>
        </w:p>
        <w:p>
          <w:pPr>
            <w:pStyle w:val="15"/>
            <w:tabs>
              <w:tab w:val="right" w:leader="dot" w:pos="8948"/>
            </w:tabs>
            <w:rPr>
              <w:rFonts w:hint="eastAsia" w:asciiTheme="minorHAnsi" w:hAnsiTheme="minorHAnsi" w:eastAsiaTheme="minorEastAsia"/>
              <w:bCs w:val="0"/>
              <w:color w:val="auto"/>
              <w:sz w:val="22"/>
              <w14:ligatures w14:val="standardContextual"/>
            </w:rPr>
          </w:pPr>
          <w:r>
            <w:rPr>
              <w:bCs w:val="0"/>
            </w:rPr>
            <w:fldChar w:fldCharType="begin"/>
          </w:r>
          <w:r>
            <w:rPr>
              <w:bCs w:val="0"/>
            </w:rPr>
            <w:instrText xml:space="preserve"> TOC \o "1-2" \h \z \u </w:instrText>
          </w:r>
          <w:r>
            <w:rPr>
              <w:bCs w:val="0"/>
            </w:rPr>
            <w:fldChar w:fldCharType="separate"/>
          </w:r>
          <w:r>
            <w:fldChar w:fldCharType="begin"/>
          </w:r>
          <w:r>
            <w:instrText xml:space="preserve"> HYPERLINK \l "_Toc237424166" </w:instrText>
          </w:r>
          <w:r>
            <w:fldChar w:fldCharType="separate"/>
          </w:r>
          <w:r>
            <w:rPr>
              <w:rStyle w:val="26"/>
              <w:rFonts w:hint="eastAsia"/>
            </w:rPr>
            <w:t>一、规划概述</w:t>
          </w:r>
          <w:r>
            <w:rPr>
              <w:rFonts w:hint="eastAsia"/>
            </w:rPr>
            <w:tab/>
          </w:r>
          <w:r>
            <w:rPr>
              <w:rFonts w:hint="eastAsia"/>
            </w:rPr>
            <w:fldChar w:fldCharType="begin"/>
          </w:r>
          <w:r>
            <w:rPr>
              <w:rFonts w:hint="eastAsia"/>
            </w:rPr>
            <w:instrText xml:space="preserve"> </w:instrText>
          </w:r>
          <w:r>
            <w:instrText xml:space="preserve">PAGEREF _Toc237424166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"_Toc237424167" </w:instrText>
          </w:r>
          <w:r>
            <w:fldChar w:fldCharType="separate"/>
          </w:r>
          <w:r>
            <w:rPr>
              <w:rStyle w:val="26"/>
              <w:rFonts w:hint="eastAsia"/>
            </w:rPr>
            <w:t>（一）规划背景</w:t>
          </w:r>
          <w:r>
            <w:rPr>
              <w:rFonts w:hint="eastAsia"/>
            </w:rPr>
            <w:tab/>
          </w:r>
          <w:r>
            <w:rPr>
              <w:rFonts w:hint="eastAsia"/>
            </w:rPr>
            <w:fldChar w:fldCharType="begin"/>
          </w:r>
          <w:r>
            <w:rPr>
              <w:rFonts w:hint="eastAsia"/>
            </w:rPr>
            <w:instrText xml:space="preserve"> </w:instrText>
          </w:r>
          <w:r>
            <w:instrText xml:space="preserve">PAGEREF _Toc237424167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"_Toc237424168" </w:instrText>
          </w:r>
          <w:r>
            <w:fldChar w:fldCharType="separate"/>
          </w:r>
          <w:r>
            <w:rPr>
              <w:rStyle w:val="26"/>
              <w:rFonts w:hint="eastAsia"/>
            </w:rPr>
            <w:t>（二）规划依据</w:t>
          </w:r>
          <w:r>
            <w:rPr>
              <w:rFonts w:hint="eastAsia"/>
            </w:rPr>
            <w:tab/>
          </w:r>
          <w:r>
            <w:rPr>
              <w:rFonts w:hint="eastAsia"/>
            </w:rPr>
            <w:fldChar w:fldCharType="begin"/>
          </w:r>
          <w:r>
            <w:rPr>
              <w:rFonts w:hint="eastAsia"/>
            </w:rPr>
            <w:instrText xml:space="preserve"> </w:instrText>
          </w:r>
          <w:r>
            <w:instrText xml:space="preserve">PAGEREF _Toc237424168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"_Toc237424169" </w:instrText>
          </w:r>
          <w:r>
            <w:fldChar w:fldCharType="separate"/>
          </w:r>
          <w:r>
            <w:rPr>
              <w:rStyle w:val="26"/>
              <w:rFonts w:hint="eastAsia"/>
            </w:rPr>
            <w:t>（三）</w:t>
          </w:r>
          <w:r>
            <w:rPr>
              <w:rStyle w:val="26"/>
              <w:rFonts w:hint="eastAsia" w:asciiTheme="majorHAnsi" w:hAnsiTheme="majorHAnsi"/>
            </w:rPr>
            <w:t>规划</w:t>
          </w:r>
          <w:r>
            <w:rPr>
              <w:rStyle w:val="26"/>
              <w:rFonts w:hint="eastAsia"/>
            </w:rPr>
            <w:t>范围和期限</w:t>
          </w:r>
          <w:r>
            <w:rPr>
              <w:rFonts w:hint="eastAsia"/>
            </w:rPr>
            <w:tab/>
          </w:r>
          <w:r>
            <w:rPr>
              <w:rFonts w:hint="eastAsia"/>
            </w:rPr>
            <w:fldChar w:fldCharType="begin"/>
          </w:r>
          <w:r>
            <w:rPr>
              <w:rFonts w:hint="eastAsia"/>
            </w:rPr>
            <w:instrText xml:space="preserve"> </w:instrText>
          </w:r>
          <w:r>
            <w:instrText xml:space="preserve">PAGEREF _Toc237424169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"_Toc237424170" </w:instrText>
          </w:r>
          <w:r>
            <w:fldChar w:fldCharType="separate"/>
          </w:r>
          <w:r>
            <w:rPr>
              <w:rStyle w:val="26"/>
              <w:rFonts w:hint="eastAsia"/>
            </w:rPr>
            <w:t>（四）规划对象与业态定义</w:t>
          </w:r>
          <w:r>
            <w:rPr>
              <w:rFonts w:hint="eastAsia"/>
            </w:rPr>
            <w:tab/>
          </w:r>
          <w:r>
            <w:rPr>
              <w:rFonts w:hint="eastAsia"/>
            </w:rPr>
            <w:fldChar w:fldCharType="begin"/>
          </w:r>
          <w:r>
            <w:rPr>
              <w:rFonts w:hint="eastAsia"/>
            </w:rPr>
            <w:instrText xml:space="preserve"> </w:instrText>
          </w:r>
          <w:r>
            <w:instrText xml:space="preserve">PAGEREF _Toc237424170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"_Toc237424171" </w:instrText>
          </w:r>
          <w:r>
            <w:fldChar w:fldCharType="separate"/>
          </w:r>
          <w:r>
            <w:rPr>
              <w:rStyle w:val="26"/>
              <w:rFonts w:hint="eastAsia"/>
            </w:rPr>
            <w:t>二、行业发展现状与形势分析</w:t>
          </w:r>
          <w:r>
            <w:rPr>
              <w:rFonts w:hint="eastAsia"/>
            </w:rPr>
            <w:tab/>
          </w:r>
          <w:r>
            <w:rPr>
              <w:rFonts w:hint="eastAsia"/>
            </w:rPr>
            <w:fldChar w:fldCharType="begin"/>
          </w:r>
          <w:r>
            <w:rPr>
              <w:rFonts w:hint="eastAsia"/>
            </w:rPr>
            <w:instrText xml:space="preserve"> </w:instrText>
          </w:r>
          <w:r>
            <w:instrText xml:space="preserve">PAGEREF _Toc237424171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"_Toc237424172" </w:instrText>
          </w:r>
          <w:r>
            <w:fldChar w:fldCharType="separate"/>
          </w:r>
          <w:r>
            <w:rPr>
              <w:rStyle w:val="26"/>
              <w:rFonts w:hint="eastAsia"/>
            </w:rPr>
            <w:t>（一）现状分析</w:t>
          </w:r>
          <w:r>
            <w:rPr>
              <w:rFonts w:hint="eastAsia"/>
            </w:rPr>
            <w:tab/>
          </w:r>
          <w:r>
            <w:rPr>
              <w:rFonts w:hint="eastAsia"/>
            </w:rPr>
            <w:fldChar w:fldCharType="begin"/>
          </w:r>
          <w:r>
            <w:rPr>
              <w:rFonts w:hint="eastAsia"/>
            </w:rPr>
            <w:instrText xml:space="preserve"> </w:instrText>
          </w:r>
          <w:r>
            <w:instrText xml:space="preserve">PAGEREF _Toc237424172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"_Toc237424173" </w:instrText>
          </w:r>
          <w:r>
            <w:fldChar w:fldCharType="separate"/>
          </w:r>
          <w:r>
            <w:rPr>
              <w:rStyle w:val="26"/>
              <w:rFonts w:hint="eastAsia"/>
            </w:rPr>
            <w:t>（二）</w:t>
          </w:r>
          <w:r>
            <w:rPr>
              <w:rStyle w:val="26"/>
              <w:rFonts w:hint="eastAsia" w:asciiTheme="majorHAnsi" w:hAnsiTheme="majorHAnsi"/>
            </w:rPr>
            <w:t>存在</w:t>
          </w:r>
          <w:r>
            <w:rPr>
              <w:rStyle w:val="26"/>
              <w:rFonts w:hint="eastAsia"/>
            </w:rPr>
            <w:t>问题</w:t>
          </w:r>
          <w:r>
            <w:rPr>
              <w:rFonts w:hint="eastAsia"/>
            </w:rPr>
            <w:tab/>
          </w:r>
          <w:r>
            <w:rPr>
              <w:rFonts w:hint="eastAsia"/>
            </w:rPr>
            <w:fldChar w:fldCharType="begin"/>
          </w:r>
          <w:r>
            <w:rPr>
              <w:rFonts w:hint="eastAsia"/>
            </w:rPr>
            <w:instrText xml:space="preserve"> </w:instrText>
          </w:r>
          <w:r>
            <w:instrText xml:space="preserve">PAGEREF _Toc237424173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"_Toc237424174" </w:instrText>
          </w:r>
          <w:r>
            <w:fldChar w:fldCharType="separate"/>
          </w:r>
          <w:r>
            <w:rPr>
              <w:rStyle w:val="26"/>
              <w:rFonts w:hint="eastAsia"/>
            </w:rPr>
            <w:t>（三）形势分析</w:t>
          </w:r>
          <w:r>
            <w:rPr>
              <w:rFonts w:hint="eastAsia"/>
            </w:rPr>
            <w:tab/>
          </w:r>
          <w:r>
            <w:rPr>
              <w:rFonts w:hint="eastAsia"/>
            </w:rPr>
            <w:fldChar w:fldCharType="begin"/>
          </w:r>
          <w:r>
            <w:rPr>
              <w:rFonts w:hint="eastAsia"/>
            </w:rPr>
            <w:instrText xml:space="preserve"> </w:instrText>
          </w:r>
          <w:r>
            <w:instrText xml:space="preserve">PAGEREF _Toc237424174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"_Toc237424175" </w:instrText>
          </w:r>
          <w:r>
            <w:fldChar w:fldCharType="separate"/>
          </w:r>
          <w:r>
            <w:rPr>
              <w:rStyle w:val="26"/>
              <w:rFonts w:hint="eastAsia"/>
            </w:rPr>
            <w:t>三、行业发展趋势预测</w:t>
          </w:r>
          <w:r>
            <w:rPr>
              <w:rFonts w:hint="eastAsia"/>
            </w:rPr>
            <w:tab/>
          </w:r>
          <w:r>
            <w:rPr>
              <w:rFonts w:hint="eastAsia"/>
            </w:rPr>
            <w:fldChar w:fldCharType="begin"/>
          </w:r>
          <w:r>
            <w:rPr>
              <w:rFonts w:hint="eastAsia"/>
            </w:rPr>
            <w:instrText xml:space="preserve"> </w:instrText>
          </w:r>
          <w:r>
            <w:instrText xml:space="preserve">PAGEREF _Toc237424175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"_Toc237424176" </w:instrText>
          </w:r>
          <w:r>
            <w:fldChar w:fldCharType="separate"/>
          </w:r>
          <w:r>
            <w:rPr>
              <w:rStyle w:val="26"/>
              <w:rFonts w:hint="eastAsia"/>
            </w:rPr>
            <w:t>（一）经济社会发展趋势</w:t>
          </w:r>
          <w:r>
            <w:rPr>
              <w:rFonts w:hint="eastAsia"/>
            </w:rPr>
            <w:tab/>
          </w:r>
          <w:r>
            <w:rPr>
              <w:rFonts w:hint="eastAsia"/>
            </w:rPr>
            <w:fldChar w:fldCharType="begin"/>
          </w:r>
          <w:r>
            <w:rPr>
              <w:rFonts w:hint="eastAsia"/>
            </w:rPr>
            <w:instrText xml:space="preserve"> </w:instrText>
          </w:r>
          <w:r>
            <w:instrText xml:space="preserve">PAGEREF _Toc237424176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"_Toc237424177" </w:instrText>
          </w:r>
          <w:r>
            <w:fldChar w:fldCharType="separate"/>
          </w:r>
          <w:r>
            <w:rPr>
              <w:rStyle w:val="26"/>
              <w:rFonts w:hint="eastAsia"/>
            </w:rPr>
            <w:t>（二）道路</w:t>
          </w:r>
          <w:r>
            <w:rPr>
              <w:rStyle w:val="26"/>
              <w:rFonts w:hint="eastAsia" w:asciiTheme="majorHAnsi" w:hAnsiTheme="majorHAnsi"/>
            </w:rPr>
            <w:t>交通</w:t>
          </w:r>
          <w:r>
            <w:rPr>
              <w:rStyle w:val="26"/>
              <w:rFonts w:hint="eastAsia"/>
            </w:rPr>
            <w:t>发展趋势</w:t>
          </w:r>
          <w:r>
            <w:rPr>
              <w:rFonts w:hint="eastAsia"/>
            </w:rPr>
            <w:tab/>
          </w:r>
          <w:r>
            <w:rPr>
              <w:rFonts w:hint="eastAsia"/>
            </w:rPr>
            <w:fldChar w:fldCharType="begin"/>
          </w:r>
          <w:r>
            <w:rPr>
              <w:rFonts w:hint="eastAsia"/>
            </w:rPr>
            <w:instrText xml:space="preserve"> </w:instrText>
          </w:r>
          <w:r>
            <w:instrText xml:space="preserve">PAGEREF _Toc237424177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"_Toc237424178" </w:instrText>
          </w:r>
          <w:r>
            <w:fldChar w:fldCharType="separate"/>
          </w:r>
          <w:r>
            <w:rPr>
              <w:rStyle w:val="26"/>
              <w:rFonts w:hint="eastAsia"/>
            </w:rPr>
            <w:t>（三）</w:t>
          </w:r>
          <w:r>
            <w:rPr>
              <w:rStyle w:val="26"/>
              <w:rFonts w:hint="eastAsia" w:asciiTheme="majorHAnsi" w:hAnsiTheme="majorHAnsi"/>
            </w:rPr>
            <w:t>机动车</w:t>
          </w:r>
          <w:r>
            <w:rPr>
              <w:rStyle w:val="26"/>
              <w:rFonts w:hint="eastAsia"/>
            </w:rPr>
            <w:t>保有量发展趋势</w:t>
          </w:r>
          <w:r>
            <w:rPr>
              <w:rFonts w:hint="eastAsia"/>
            </w:rPr>
            <w:tab/>
          </w:r>
          <w:r>
            <w:rPr>
              <w:rFonts w:hint="eastAsia"/>
            </w:rPr>
            <w:fldChar w:fldCharType="begin"/>
          </w:r>
          <w:r>
            <w:rPr>
              <w:rFonts w:hint="eastAsia"/>
            </w:rPr>
            <w:instrText xml:space="preserve"> </w:instrText>
          </w:r>
          <w:r>
            <w:instrText xml:space="preserve">PAGEREF _Toc237424178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"_Toc237424179" </w:instrText>
          </w:r>
          <w:r>
            <w:fldChar w:fldCharType="separate"/>
          </w:r>
          <w:r>
            <w:rPr>
              <w:rStyle w:val="26"/>
              <w:rFonts w:hint="eastAsia"/>
            </w:rPr>
            <w:t>（四）成品油及站点需求预测</w:t>
          </w:r>
          <w:r>
            <w:rPr>
              <w:rFonts w:hint="eastAsia"/>
            </w:rPr>
            <w:tab/>
          </w:r>
          <w:r>
            <w:rPr>
              <w:rFonts w:hint="eastAsia"/>
            </w:rPr>
            <w:fldChar w:fldCharType="begin"/>
          </w:r>
          <w:r>
            <w:rPr>
              <w:rFonts w:hint="eastAsia"/>
            </w:rPr>
            <w:instrText xml:space="preserve"> </w:instrText>
          </w:r>
          <w:r>
            <w:instrText xml:space="preserve">PAGEREF _Toc237424179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"_Toc237424180" </w:instrText>
          </w:r>
          <w:r>
            <w:fldChar w:fldCharType="separate"/>
          </w:r>
          <w:r>
            <w:rPr>
              <w:rStyle w:val="26"/>
              <w:rFonts w:hint="eastAsia"/>
            </w:rPr>
            <w:t>（五）车用天然气及站点需求预测</w:t>
          </w:r>
          <w:r>
            <w:rPr>
              <w:rFonts w:hint="eastAsia"/>
            </w:rPr>
            <w:tab/>
          </w:r>
          <w:r>
            <w:rPr>
              <w:rFonts w:hint="eastAsia"/>
            </w:rPr>
            <w:fldChar w:fldCharType="begin"/>
          </w:r>
          <w:r>
            <w:rPr>
              <w:rFonts w:hint="eastAsia"/>
            </w:rPr>
            <w:instrText xml:space="preserve"> </w:instrText>
          </w:r>
          <w:r>
            <w:instrText xml:space="preserve">PAGEREF _Toc237424180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"_Toc237424181" </w:instrText>
          </w:r>
          <w:r>
            <w:fldChar w:fldCharType="separate"/>
          </w:r>
          <w:r>
            <w:rPr>
              <w:rStyle w:val="26"/>
              <w:rFonts w:hint="eastAsia"/>
            </w:rPr>
            <w:t>（六）甲醇及站点需求预测</w:t>
          </w:r>
          <w:r>
            <w:rPr>
              <w:rFonts w:hint="eastAsia"/>
            </w:rPr>
            <w:tab/>
          </w:r>
          <w:r>
            <w:rPr>
              <w:rFonts w:hint="eastAsia"/>
            </w:rPr>
            <w:fldChar w:fldCharType="begin"/>
          </w:r>
          <w:r>
            <w:rPr>
              <w:rFonts w:hint="eastAsia"/>
            </w:rPr>
            <w:instrText xml:space="preserve"> </w:instrText>
          </w:r>
          <w:r>
            <w:instrText xml:space="preserve">PAGEREF _Toc237424181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"_Toc237424182" </w:instrText>
          </w:r>
          <w:r>
            <w:fldChar w:fldCharType="separate"/>
          </w:r>
          <w:r>
            <w:rPr>
              <w:rStyle w:val="26"/>
              <w:rFonts w:hint="eastAsia"/>
            </w:rPr>
            <w:t>（七）车用氢能及站点需求预测</w:t>
          </w:r>
          <w:r>
            <w:rPr>
              <w:rFonts w:hint="eastAsia"/>
            </w:rPr>
            <w:tab/>
          </w:r>
          <w:r>
            <w:rPr>
              <w:rFonts w:hint="eastAsia"/>
            </w:rPr>
            <w:fldChar w:fldCharType="begin"/>
          </w:r>
          <w:r>
            <w:rPr>
              <w:rFonts w:hint="eastAsia"/>
            </w:rPr>
            <w:instrText xml:space="preserve"> </w:instrText>
          </w:r>
          <w:r>
            <w:instrText xml:space="preserve">PAGEREF _Toc237424182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"_Toc237424183" </w:instrText>
          </w:r>
          <w:r>
            <w:fldChar w:fldCharType="separate"/>
          </w:r>
          <w:r>
            <w:rPr>
              <w:rStyle w:val="26"/>
              <w:rFonts w:hint="eastAsia"/>
            </w:rPr>
            <w:t>（八）充电设施需求预测</w:t>
          </w:r>
          <w:r>
            <w:rPr>
              <w:rFonts w:hint="eastAsia"/>
            </w:rPr>
            <w:tab/>
          </w:r>
          <w:r>
            <w:rPr>
              <w:rFonts w:hint="eastAsia"/>
            </w:rPr>
            <w:fldChar w:fldCharType="begin"/>
          </w:r>
          <w:r>
            <w:rPr>
              <w:rFonts w:hint="eastAsia"/>
            </w:rPr>
            <w:instrText xml:space="preserve"> </w:instrText>
          </w:r>
          <w:r>
            <w:instrText xml:space="preserve">PAGEREF _Toc237424183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"_Toc237424184" </w:instrText>
          </w:r>
          <w:r>
            <w:fldChar w:fldCharType="separate"/>
          </w:r>
          <w:r>
            <w:rPr>
              <w:rStyle w:val="26"/>
              <w:rFonts w:hint="eastAsia"/>
            </w:rPr>
            <w:t>四、加油加气加氢充电站网点布局方案</w:t>
          </w:r>
          <w:r>
            <w:rPr>
              <w:rFonts w:hint="eastAsia"/>
            </w:rPr>
            <w:tab/>
          </w:r>
          <w:r>
            <w:rPr>
              <w:rFonts w:hint="eastAsia"/>
            </w:rPr>
            <w:fldChar w:fldCharType="begin"/>
          </w:r>
          <w:r>
            <w:rPr>
              <w:rFonts w:hint="eastAsia"/>
            </w:rPr>
            <w:instrText xml:space="preserve"> </w:instrText>
          </w:r>
          <w:r>
            <w:instrText xml:space="preserve">PAGEREF _Toc237424184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"_Toc237424185" </w:instrText>
          </w:r>
          <w:r>
            <w:fldChar w:fldCharType="separate"/>
          </w:r>
          <w:r>
            <w:rPr>
              <w:rStyle w:val="26"/>
              <w:rFonts w:hint="eastAsia"/>
            </w:rPr>
            <w:t>（一）指导思想</w:t>
          </w:r>
          <w:r>
            <w:rPr>
              <w:rFonts w:hint="eastAsia"/>
            </w:rPr>
            <w:tab/>
          </w:r>
          <w:r>
            <w:rPr>
              <w:rFonts w:hint="eastAsia"/>
            </w:rPr>
            <w:fldChar w:fldCharType="begin"/>
          </w:r>
          <w:r>
            <w:rPr>
              <w:rFonts w:hint="eastAsia"/>
            </w:rPr>
            <w:instrText xml:space="preserve"> </w:instrText>
          </w:r>
          <w:r>
            <w:instrText xml:space="preserve">PAGEREF _Toc237424185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"_Toc237424186" </w:instrText>
          </w:r>
          <w:r>
            <w:fldChar w:fldCharType="separate"/>
          </w:r>
          <w:r>
            <w:rPr>
              <w:rStyle w:val="26"/>
              <w:rFonts w:hint="eastAsia"/>
            </w:rPr>
            <w:t>（二）布局原则</w:t>
          </w:r>
          <w:r>
            <w:rPr>
              <w:rFonts w:hint="eastAsia"/>
            </w:rPr>
            <w:tab/>
          </w:r>
          <w:r>
            <w:rPr>
              <w:rFonts w:hint="eastAsia"/>
            </w:rPr>
            <w:fldChar w:fldCharType="begin"/>
          </w:r>
          <w:r>
            <w:rPr>
              <w:rFonts w:hint="eastAsia"/>
            </w:rPr>
            <w:instrText xml:space="preserve"> </w:instrText>
          </w:r>
          <w:r>
            <w:instrText xml:space="preserve">PAGEREF _Toc237424186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"_Toc237424187" </w:instrText>
          </w:r>
          <w:r>
            <w:fldChar w:fldCharType="separate"/>
          </w:r>
          <w:r>
            <w:rPr>
              <w:rStyle w:val="26"/>
              <w:rFonts w:hint="eastAsia"/>
            </w:rPr>
            <w:t>（三）</w:t>
          </w:r>
          <w:r>
            <w:rPr>
              <w:rStyle w:val="26"/>
              <w:rFonts w:hint="eastAsia" w:asciiTheme="majorHAnsi" w:hAnsiTheme="majorHAnsi"/>
            </w:rPr>
            <w:t>布局</w:t>
          </w:r>
          <w:r>
            <w:rPr>
              <w:rStyle w:val="26"/>
              <w:rFonts w:hint="eastAsia"/>
            </w:rPr>
            <w:t>目标</w:t>
          </w:r>
          <w:r>
            <w:rPr>
              <w:rFonts w:hint="eastAsia"/>
            </w:rPr>
            <w:tab/>
          </w:r>
          <w:r>
            <w:rPr>
              <w:rFonts w:hint="eastAsia"/>
            </w:rPr>
            <w:fldChar w:fldCharType="begin"/>
          </w:r>
          <w:r>
            <w:rPr>
              <w:rFonts w:hint="eastAsia"/>
            </w:rPr>
            <w:instrText xml:space="preserve"> </w:instrText>
          </w:r>
          <w:r>
            <w:instrText xml:space="preserve">PAGEREF _Toc237424187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"_Toc237424188" </w:instrText>
          </w:r>
          <w:r>
            <w:fldChar w:fldCharType="separate"/>
          </w:r>
          <w:r>
            <w:rPr>
              <w:rStyle w:val="26"/>
              <w:rFonts w:hint="eastAsia"/>
            </w:rPr>
            <w:t>（四）建设要求</w:t>
          </w:r>
          <w:r>
            <w:rPr>
              <w:rFonts w:hint="eastAsia"/>
            </w:rPr>
            <w:tab/>
          </w:r>
          <w:r>
            <w:rPr>
              <w:rFonts w:hint="eastAsia"/>
            </w:rPr>
            <w:fldChar w:fldCharType="begin"/>
          </w:r>
          <w:r>
            <w:rPr>
              <w:rFonts w:hint="eastAsia"/>
            </w:rPr>
            <w:instrText xml:space="preserve"> </w:instrText>
          </w:r>
          <w:r>
            <w:instrText xml:space="preserve">PAGEREF _Toc237424188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"_Toc237424189" </w:instrText>
          </w:r>
          <w:r>
            <w:fldChar w:fldCharType="separate"/>
          </w:r>
          <w:r>
            <w:rPr>
              <w:rStyle w:val="26"/>
              <w:rFonts w:hint="eastAsia"/>
            </w:rPr>
            <w:t>（五）网点布局</w:t>
          </w:r>
          <w:r>
            <w:rPr>
              <w:rFonts w:hint="eastAsia"/>
            </w:rPr>
            <w:tab/>
          </w:r>
          <w:r>
            <w:rPr>
              <w:rFonts w:hint="eastAsia"/>
            </w:rPr>
            <w:fldChar w:fldCharType="begin"/>
          </w:r>
          <w:r>
            <w:rPr>
              <w:rFonts w:hint="eastAsia"/>
            </w:rPr>
            <w:instrText xml:space="preserve"> </w:instrText>
          </w:r>
          <w:r>
            <w:instrText xml:space="preserve">PAGEREF _Toc237424189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"_Toc237424190" </w:instrText>
          </w:r>
          <w:r>
            <w:fldChar w:fldCharType="separate"/>
          </w:r>
          <w:r>
            <w:rPr>
              <w:rStyle w:val="26"/>
              <w:rFonts w:hint="eastAsia"/>
            </w:rPr>
            <w:t>五、重点任务</w:t>
          </w:r>
          <w:r>
            <w:rPr>
              <w:rFonts w:hint="eastAsia"/>
            </w:rPr>
            <w:tab/>
          </w:r>
          <w:r>
            <w:rPr>
              <w:rFonts w:hint="eastAsia"/>
            </w:rPr>
            <w:fldChar w:fldCharType="begin"/>
          </w:r>
          <w:r>
            <w:rPr>
              <w:rFonts w:hint="eastAsia"/>
            </w:rPr>
            <w:instrText xml:space="preserve"> </w:instrText>
          </w:r>
          <w:r>
            <w:instrText xml:space="preserve">PAGEREF _Toc237424190 \h</w:instrText>
          </w:r>
          <w:r>
            <w:rPr>
              <w:rFonts w:hint="eastAsia"/>
            </w:rPr>
            <w:instrText xml:space="preserve"> </w:instrText>
          </w:r>
          <w:r>
            <w:rPr>
              <w:rFonts w:hint="eastAsia"/>
            </w:rPr>
            <w:fldChar w:fldCharType="separate"/>
          </w:r>
          <w:r>
            <w:t>44</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"_Toc237424191" </w:instrText>
          </w:r>
          <w:r>
            <w:fldChar w:fldCharType="separate"/>
          </w:r>
          <w:r>
            <w:rPr>
              <w:rStyle w:val="26"/>
              <w:rFonts w:hint="eastAsia"/>
            </w:rPr>
            <w:t>（一）油品</w:t>
          </w:r>
          <w:r>
            <w:rPr>
              <w:rStyle w:val="26"/>
              <w:rFonts w:hint="eastAsia" w:asciiTheme="majorHAnsi" w:hAnsiTheme="majorHAnsi"/>
            </w:rPr>
            <w:t>储备</w:t>
          </w:r>
          <w:r>
            <w:rPr>
              <w:rStyle w:val="26"/>
              <w:rFonts w:hint="eastAsia"/>
            </w:rPr>
            <w:t>库建设</w:t>
          </w:r>
          <w:r>
            <w:rPr>
              <w:rFonts w:hint="eastAsia"/>
            </w:rPr>
            <w:tab/>
          </w:r>
          <w:r>
            <w:rPr>
              <w:rFonts w:hint="eastAsia"/>
            </w:rPr>
            <w:fldChar w:fldCharType="begin"/>
          </w:r>
          <w:r>
            <w:rPr>
              <w:rFonts w:hint="eastAsia"/>
            </w:rPr>
            <w:instrText xml:space="preserve"> </w:instrText>
          </w:r>
          <w:r>
            <w:instrText xml:space="preserve">PAGEREF _Toc237424191 \h</w:instrText>
          </w:r>
          <w:r>
            <w:rPr>
              <w:rFonts w:hint="eastAsia"/>
            </w:rPr>
            <w:instrText xml:space="preserve"> </w:instrText>
          </w:r>
          <w:r>
            <w:rPr>
              <w:rFonts w:hint="eastAsia"/>
            </w:rPr>
            <w:fldChar w:fldCharType="separate"/>
          </w:r>
          <w:r>
            <w:t>44</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"_Toc237424192" </w:instrText>
          </w:r>
          <w:r>
            <w:fldChar w:fldCharType="separate"/>
          </w:r>
          <w:r>
            <w:rPr>
              <w:rStyle w:val="26"/>
              <w:rFonts w:hint="eastAsia"/>
            </w:rPr>
            <w:t>（二）非油品经营服务拓展</w:t>
          </w:r>
          <w:r>
            <w:rPr>
              <w:rFonts w:hint="eastAsia"/>
            </w:rPr>
            <w:tab/>
          </w:r>
          <w:r>
            <w:rPr>
              <w:rFonts w:hint="eastAsia"/>
            </w:rPr>
            <w:fldChar w:fldCharType="begin"/>
          </w:r>
          <w:r>
            <w:rPr>
              <w:rFonts w:hint="eastAsia"/>
            </w:rPr>
            <w:instrText xml:space="preserve"> </w:instrText>
          </w:r>
          <w:r>
            <w:instrText xml:space="preserve">PAGEREF _Toc237424192 \h</w:instrText>
          </w:r>
          <w:r>
            <w:rPr>
              <w:rFonts w:hint="eastAsia"/>
            </w:rPr>
            <w:instrText xml:space="preserve"> </w:instrText>
          </w:r>
          <w:r>
            <w:rPr>
              <w:rFonts w:hint="eastAsia"/>
            </w:rPr>
            <w:fldChar w:fldCharType="separate"/>
          </w:r>
          <w:r>
            <w:t>44</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"_Toc237424193" </w:instrText>
          </w:r>
          <w:r>
            <w:fldChar w:fldCharType="separate"/>
          </w:r>
          <w:r>
            <w:rPr>
              <w:rStyle w:val="26"/>
              <w:rFonts w:hint="eastAsia"/>
            </w:rPr>
            <w:t>（三）智慧</w:t>
          </w:r>
          <w:r>
            <w:rPr>
              <w:rStyle w:val="26"/>
              <w:rFonts w:hint="eastAsia" w:asciiTheme="majorHAnsi" w:hAnsiTheme="majorHAnsi"/>
            </w:rPr>
            <w:t>服务</w:t>
          </w:r>
          <w:r>
            <w:rPr>
              <w:rStyle w:val="26"/>
              <w:rFonts w:hint="eastAsia"/>
            </w:rPr>
            <w:t>平台建设</w:t>
          </w:r>
          <w:r>
            <w:rPr>
              <w:rFonts w:hint="eastAsia"/>
            </w:rPr>
            <w:tab/>
          </w:r>
          <w:r>
            <w:rPr>
              <w:rFonts w:hint="eastAsia"/>
            </w:rPr>
            <w:fldChar w:fldCharType="begin"/>
          </w:r>
          <w:r>
            <w:rPr>
              <w:rFonts w:hint="eastAsia"/>
            </w:rPr>
            <w:instrText xml:space="preserve"> </w:instrText>
          </w:r>
          <w:r>
            <w:instrText xml:space="preserve">PAGEREF _Toc237424193 \h</w:instrText>
          </w:r>
          <w:r>
            <w:rPr>
              <w:rFonts w:hint="eastAsia"/>
            </w:rPr>
            <w:instrText xml:space="preserve"> </w:instrText>
          </w:r>
          <w:r>
            <w:rPr>
              <w:rFonts w:hint="eastAsia"/>
            </w:rPr>
            <w:fldChar w:fldCharType="separate"/>
          </w:r>
          <w:r>
            <w:t>45</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"_Toc237424194" </w:instrText>
          </w:r>
          <w:r>
            <w:fldChar w:fldCharType="separate"/>
          </w:r>
          <w:r>
            <w:rPr>
              <w:rStyle w:val="26"/>
              <w:rFonts w:hint="eastAsia"/>
            </w:rPr>
            <w:t>（四）加强</w:t>
          </w:r>
          <w:r>
            <w:rPr>
              <w:rStyle w:val="26"/>
              <w:rFonts w:hint="eastAsia" w:asciiTheme="majorHAnsi" w:hAnsiTheme="majorHAnsi"/>
            </w:rPr>
            <w:t>环保</w:t>
          </w:r>
          <w:r>
            <w:rPr>
              <w:rStyle w:val="26"/>
              <w:rFonts w:hint="eastAsia"/>
            </w:rPr>
            <w:t>设施建设</w:t>
          </w:r>
          <w:r>
            <w:rPr>
              <w:rFonts w:hint="eastAsia"/>
            </w:rPr>
            <w:tab/>
          </w:r>
          <w:r>
            <w:rPr>
              <w:rFonts w:hint="eastAsia"/>
            </w:rPr>
            <w:fldChar w:fldCharType="begin"/>
          </w:r>
          <w:r>
            <w:rPr>
              <w:rFonts w:hint="eastAsia"/>
            </w:rPr>
            <w:instrText xml:space="preserve"> </w:instrText>
          </w:r>
          <w:r>
            <w:instrText xml:space="preserve">PAGEREF _Toc237424194 \h</w:instrText>
          </w:r>
          <w:r>
            <w:rPr>
              <w:rFonts w:hint="eastAsia"/>
            </w:rPr>
            <w:instrText xml:space="preserve"> </w:instrText>
          </w:r>
          <w:r>
            <w:rPr>
              <w:rFonts w:hint="eastAsia"/>
            </w:rPr>
            <w:fldChar w:fldCharType="separate"/>
          </w:r>
          <w:r>
            <w:t>46</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"_Toc237424195" </w:instrText>
          </w:r>
          <w:r>
            <w:fldChar w:fldCharType="separate"/>
          </w:r>
          <w:r>
            <w:rPr>
              <w:rStyle w:val="26"/>
              <w:rFonts w:hint="eastAsia"/>
            </w:rPr>
            <w:t>六、规划环境影响分析</w:t>
          </w:r>
          <w:r>
            <w:rPr>
              <w:rFonts w:hint="eastAsia"/>
            </w:rPr>
            <w:tab/>
          </w:r>
          <w:r>
            <w:rPr>
              <w:rFonts w:hint="eastAsia"/>
            </w:rPr>
            <w:fldChar w:fldCharType="begin"/>
          </w:r>
          <w:r>
            <w:rPr>
              <w:rFonts w:hint="eastAsia"/>
            </w:rPr>
            <w:instrText xml:space="preserve"> </w:instrText>
          </w:r>
          <w:r>
            <w:instrText xml:space="preserve">PAGEREF _Toc237424195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"_Toc237424196" </w:instrText>
          </w:r>
          <w:r>
            <w:fldChar w:fldCharType="separate"/>
          </w:r>
          <w:r>
            <w:rPr>
              <w:rStyle w:val="26"/>
              <w:rFonts w:hint="eastAsia"/>
            </w:rPr>
            <w:t>（一）规划项目环境影响分析</w:t>
          </w:r>
          <w:r>
            <w:rPr>
              <w:rFonts w:hint="eastAsia"/>
            </w:rPr>
            <w:tab/>
          </w:r>
          <w:r>
            <w:rPr>
              <w:rFonts w:hint="eastAsia"/>
            </w:rPr>
            <w:fldChar w:fldCharType="begin"/>
          </w:r>
          <w:r>
            <w:rPr>
              <w:rFonts w:hint="eastAsia"/>
            </w:rPr>
            <w:instrText xml:space="preserve"> </w:instrText>
          </w:r>
          <w:r>
            <w:instrText xml:space="preserve">PAGEREF _Toc237424196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"_Toc237424197" </w:instrText>
          </w:r>
          <w:r>
            <w:fldChar w:fldCharType="separate"/>
          </w:r>
          <w:r>
            <w:rPr>
              <w:rStyle w:val="26"/>
              <w:rFonts w:hint="eastAsia"/>
            </w:rPr>
            <w:t>（二）施工期</w:t>
          </w:r>
          <w:r>
            <w:rPr>
              <w:rStyle w:val="26"/>
              <w:rFonts w:hint="eastAsia" w:asciiTheme="majorHAnsi" w:hAnsiTheme="majorHAnsi"/>
            </w:rPr>
            <w:t>环境影响</w:t>
          </w:r>
          <w:r>
            <w:rPr>
              <w:rStyle w:val="26"/>
              <w:rFonts w:hint="eastAsia"/>
            </w:rPr>
            <w:t>简要分析</w:t>
          </w:r>
          <w:r>
            <w:rPr>
              <w:rFonts w:hint="eastAsia"/>
            </w:rPr>
            <w:tab/>
          </w:r>
          <w:r>
            <w:rPr>
              <w:rFonts w:hint="eastAsia"/>
            </w:rPr>
            <w:fldChar w:fldCharType="begin"/>
          </w:r>
          <w:r>
            <w:rPr>
              <w:rFonts w:hint="eastAsia"/>
            </w:rPr>
            <w:instrText xml:space="preserve"> </w:instrText>
          </w:r>
          <w:r>
            <w:instrText xml:space="preserve">PAGEREF _Toc237424197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"_Toc237424198" </w:instrText>
          </w:r>
          <w:r>
            <w:fldChar w:fldCharType="separate"/>
          </w:r>
          <w:r>
            <w:rPr>
              <w:rStyle w:val="26"/>
              <w:rFonts w:hint="eastAsia"/>
            </w:rPr>
            <w:t>（三）运营期</w:t>
          </w:r>
          <w:r>
            <w:rPr>
              <w:rStyle w:val="26"/>
              <w:rFonts w:hint="eastAsia" w:asciiTheme="majorHAnsi" w:hAnsiTheme="majorHAnsi"/>
            </w:rPr>
            <w:t>环境影响</w:t>
          </w:r>
          <w:r>
            <w:rPr>
              <w:rStyle w:val="26"/>
              <w:rFonts w:hint="eastAsia"/>
            </w:rPr>
            <w:t>简要分析</w:t>
          </w:r>
          <w:r>
            <w:rPr>
              <w:rFonts w:hint="eastAsia"/>
            </w:rPr>
            <w:tab/>
          </w:r>
          <w:r>
            <w:rPr>
              <w:rFonts w:hint="eastAsia"/>
            </w:rPr>
            <w:fldChar w:fldCharType="begin"/>
          </w:r>
          <w:r>
            <w:rPr>
              <w:rFonts w:hint="eastAsia"/>
            </w:rPr>
            <w:instrText xml:space="preserve"> </w:instrText>
          </w:r>
          <w:r>
            <w:instrText xml:space="preserve">PAGEREF _Toc237424198 \h</w:instrText>
          </w:r>
          <w:r>
            <w:rPr>
              <w:rFonts w:hint="eastAsia"/>
            </w:rPr>
            <w:instrText xml:space="preserve"> </w:instrText>
          </w:r>
          <w:r>
            <w:rPr>
              <w:rFonts w:hint="eastAsia"/>
            </w:rPr>
            <w:fldChar w:fldCharType="separate"/>
          </w:r>
          <w:r>
            <w:t>50</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"_Toc237424199" </w:instrText>
          </w:r>
          <w:r>
            <w:fldChar w:fldCharType="separate"/>
          </w:r>
          <w:r>
            <w:rPr>
              <w:rStyle w:val="26"/>
              <w:rFonts w:hint="eastAsia"/>
            </w:rPr>
            <w:t>七、规划实施保证措施</w:t>
          </w:r>
          <w:r>
            <w:rPr>
              <w:rFonts w:hint="eastAsia"/>
            </w:rPr>
            <w:tab/>
          </w:r>
          <w:r>
            <w:rPr>
              <w:rFonts w:hint="eastAsia"/>
            </w:rPr>
            <w:fldChar w:fldCharType="begin"/>
          </w:r>
          <w:r>
            <w:rPr>
              <w:rFonts w:hint="eastAsia"/>
            </w:rPr>
            <w:instrText xml:space="preserve"> </w:instrText>
          </w:r>
          <w:r>
            <w:instrText xml:space="preserve">PAGEREF _Toc237424199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"_Toc237424200" </w:instrText>
          </w:r>
          <w:r>
            <w:fldChar w:fldCharType="separate"/>
          </w:r>
          <w:r>
            <w:rPr>
              <w:rStyle w:val="26"/>
              <w:rFonts w:hint="eastAsia"/>
            </w:rPr>
            <w:t>（一）强化</w:t>
          </w:r>
          <w:r>
            <w:rPr>
              <w:rStyle w:val="26"/>
              <w:rFonts w:hint="eastAsia" w:asciiTheme="majorHAnsi" w:hAnsiTheme="majorHAnsi"/>
            </w:rPr>
            <w:t>政策</w:t>
          </w:r>
          <w:r>
            <w:rPr>
              <w:rStyle w:val="26"/>
              <w:rFonts w:hint="eastAsia"/>
            </w:rPr>
            <w:t>制度支撑</w:t>
          </w:r>
          <w:r>
            <w:rPr>
              <w:rFonts w:hint="eastAsia"/>
            </w:rPr>
            <w:tab/>
          </w:r>
          <w:r>
            <w:rPr>
              <w:rFonts w:hint="eastAsia"/>
            </w:rPr>
            <w:fldChar w:fldCharType="begin"/>
          </w:r>
          <w:r>
            <w:rPr>
              <w:rFonts w:hint="eastAsia"/>
            </w:rPr>
            <w:instrText xml:space="preserve"> </w:instrText>
          </w:r>
          <w:r>
            <w:instrText xml:space="preserve">PAGEREF _Toc237424200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"_Toc237424201" </w:instrText>
          </w:r>
          <w:r>
            <w:fldChar w:fldCharType="separate"/>
          </w:r>
          <w:r>
            <w:rPr>
              <w:rStyle w:val="26"/>
              <w:rFonts w:hint="eastAsia"/>
            </w:rPr>
            <w:t>（二）严格监督考核评估</w:t>
          </w:r>
          <w:r>
            <w:rPr>
              <w:rFonts w:hint="eastAsia"/>
            </w:rPr>
            <w:tab/>
          </w:r>
          <w:r>
            <w:rPr>
              <w:rFonts w:hint="eastAsia"/>
            </w:rPr>
            <w:fldChar w:fldCharType="begin"/>
          </w:r>
          <w:r>
            <w:rPr>
              <w:rFonts w:hint="eastAsia"/>
            </w:rPr>
            <w:instrText xml:space="preserve"> </w:instrText>
          </w:r>
          <w:r>
            <w:instrText xml:space="preserve">PAGEREF _Toc237424201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"_Toc237424202" </w:instrText>
          </w:r>
          <w:r>
            <w:fldChar w:fldCharType="separate"/>
          </w:r>
          <w:r>
            <w:rPr>
              <w:rStyle w:val="26"/>
              <w:rFonts w:hint="eastAsia"/>
            </w:rPr>
            <w:t>（三）筑牢安全生产底线</w:t>
          </w:r>
          <w:r>
            <w:rPr>
              <w:rFonts w:hint="eastAsia"/>
            </w:rPr>
            <w:tab/>
          </w:r>
          <w:r>
            <w:rPr>
              <w:rFonts w:hint="eastAsia"/>
            </w:rPr>
            <w:fldChar w:fldCharType="begin"/>
          </w:r>
          <w:r>
            <w:rPr>
              <w:rFonts w:hint="eastAsia"/>
            </w:rPr>
            <w:instrText xml:space="preserve"> </w:instrText>
          </w:r>
          <w:r>
            <w:instrText xml:space="preserve">PAGEREF _Toc237424202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pPr>
            <w:pStyle w:val="17"/>
            <w:tabs>
              <w:tab w:val="right" w:leader="dot" w:pos="8948"/>
            </w:tabs>
            <w:ind w:left="640"/>
            <w:rPr>
              <w:rFonts w:hint="eastAsia" w:asciiTheme="minorHAnsi" w:hAnsiTheme="minorHAnsi" w:eastAsiaTheme="minorEastAsia"/>
              <w:color w:val="auto"/>
              <w:sz w:val="22"/>
              <w:szCs w:val="24"/>
              <w14:ligatures w14:val="standardContextual"/>
            </w:rPr>
          </w:pPr>
          <w:r>
            <w:fldChar w:fldCharType="begin"/>
          </w:r>
          <w:r>
            <w:instrText xml:space="preserve"> HYPERLINK \l "_Toc237424203" </w:instrText>
          </w:r>
          <w:r>
            <w:fldChar w:fldCharType="separate"/>
          </w:r>
          <w:r>
            <w:rPr>
              <w:rStyle w:val="26"/>
              <w:rFonts w:hint="eastAsia"/>
            </w:rPr>
            <w:t>（四）引导规范有序经营</w:t>
          </w:r>
          <w:r>
            <w:rPr>
              <w:rFonts w:hint="eastAsia"/>
            </w:rPr>
            <w:tab/>
          </w:r>
          <w:r>
            <w:rPr>
              <w:rFonts w:hint="eastAsia"/>
            </w:rPr>
            <w:fldChar w:fldCharType="begin"/>
          </w:r>
          <w:r>
            <w:rPr>
              <w:rFonts w:hint="eastAsia"/>
            </w:rPr>
            <w:instrText xml:space="preserve"> </w:instrText>
          </w:r>
          <w:r>
            <w:instrText xml:space="preserve">PAGEREF _Toc237424203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"_Toc237424204" </w:instrText>
          </w:r>
          <w:r>
            <w:fldChar w:fldCharType="separate"/>
          </w:r>
          <w:r>
            <w:rPr>
              <w:rStyle w:val="26"/>
              <w:rFonts w:hint="eastAsia"/>
            </w:rPr>
            <w:t>附图1：六盘水市</w:t>
          </w:r>
          <w:r>
            <w:rPr>
              <w:rStyle w:val="26"/>
              <w:rFonts w:hint="eastAsia"/>
              <w:lang w:eastAsia="zh-CN"/>
            </w:rPr>
            <w:t>“</w:t>
          </w:r>
          <w:r>
            <w:rPr>
              <w:rStyle w:val="26"/>
              <w:rFonts w:hint="eastAsia"/>
            </w:rPr>
            <w:t>十五五</w:t>
          </w:r>
          <w:r>
            <w:rPr>
              <w:rStyle w:val="26"/>
              <w:rFonts w:hint="eastAsia"/>
              <w:lang w:eastAsia="zh-CN"/>
            </w:rPr>
            <w:t>”</w:t>
          </w:r>
          <w:r>
            <w:rPr>
              <w:rStyle w:val="26"/>
              <w:rFonts w:hint="eastAsia"/>
            </w:rPr>
            <w:t>公路规划示意图</w:t>
          </w:r>
          <w:r>
            <w:rPr>
              <w:rFonts w:hint="eastAsia"/>
            </w:rPr>
            <w:tab/>
          </w:r>
          <w:r>
            <w:rPr>
              <w:rFonts w:hint="eastAsia"/>
            </w:rPr>
            <w:fldChar w:fldCharType="begin"/>
          </w:r>
          <w:r>
            <w:rPr>
              <w:rFonts w:hint="eastAsia"/>
            </w:rPr>
            <w:instrText xml:space="preserve"> </w:instrText>
          </w:r>
          <w:r>
            <w:instrText xml:space="preserve">PAGEREF _Toc237424204 \h</w:instrText>
          </w:r>
          <w:r>
            <w:rPr>
              <w:rFonts w:hint="eastAsia"/>
            </w:rPr>
            <w:instrText xml:space="preserve"> </w:instrText>
          </w:r>
          <w:r>
            <w:rPr>
              <w:rFonts w:hint="eastAsia"/>
            </w:rPr>
            <w:fldChar w:fldCharType="separate"/>
          </w:r>
          <w:r>
            <w:t>55</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"_Toc237424205" </w:instrText>
          </w:r>
          <w:r>
            <w:fldChar w:fldCharType="separate"/>
          </w:r>
          <w:r>
            <w:rPr>
              <w:rStyle w:val="26"/>
              <w:rFonts w:hint="eastAsia"/>
            </w:rPr>
            <w:t>附图2：六盘水市</w:t>
          </w:r>
          <w:r>
            <w:rPr>
              <w:rStyle w:val="26"/>
              <w:rFonts w:hint="eastAsia"/>
              <w:lang w:eastAsia="zh-CN"/>
            </w:rPr>
            <w:t>“</w:t>
          </w:r>
          <w:r>
            <w:rPr>
              <w:rStyle w:val="26"/>
              <w:rFonts w:hint="eastAsia"/>
            </w:rPr>
            <w:t>十五五</w:t>
          </w:r>
          <w:r>
            <w:rPr>
              <w:rStyle w:val="26"/>
              <w:rFonts w:hint="eastAsia"/>
              <w:lang w:eastAsia="zh-CN"/>
            </w:rPr>
            <w:t>”</w:t>
          </w:r>
          <w:r>
            <w:rPr>
              <w:rStyle w:val="26"/>
              <w:rFonts w:hint="eastAsia"/>
            </w:rPr>
            <w:t>铁路民航水运规划示意图</w:t>
          </w:r>
          <w:r>
            <w:rPr>
              <w:rFonts w:hint="eastAsia"/>
            </w:rPr>
            <w:tab/>
          </w:r>
          <w:r>
            <w:rPr>
              <w:rFonts w:hint="eastAsia"/>
            </w:rPr>
            <w:fldChar w:fldCharType="begin"/>
          </w:r>
          <w:r>
            <w:rPr>
              <w:rFonts w:hint="eastAsia"/>
            </w:rPr>
            <w:instrText xml:space="preserve"> </w:instrText>
          </w:r>
          <w:r>
            <w:instrText xml:space="preserve">PAGEREF _Toc237424205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"_Toc237424206" </w:instrText>
          </w:r>
          <w:r>
            <w:fldChar w:fldCharType="separate"/>
          </w:r>
          <w:r>
            <w:rPr>
              <w:rStyle w:val="26"/>
              <w:rFonts w:hint="eastAsia"/>
            </w:rPr>
            <w:t>附图3：六盘水市</w:t>
          </w:r>
          <w:r>
            <w:rPr>
              <w:rStyle w:val="26"/>
              <w:rFonts w:hint="eastAsia"/>
              <w:lang w:eastAsia="zh-CN"/>
            </w:rPr>
            <w:t>“</w:t>
          </w:r>
          <w:r>
            <w:rPr>
              <w:rStyle w:val="26"/>
              <w:rFonts w:hint="eastAsia"/>
            </w:rPr>
            <w:t>十五五</w:t>
          </w:r>
          <w:r>
            <w:rPr>
              <w:rStyle w:val="26"/>
              <w:rFonts w:hint="eastAsia"/>
              <w:lang w:eastAsia="zh-CN"/>
            </w:rPr>
            <w:t>”</w:t>
          </w:r>
          <w:r>
            <w:rPr>
              <w:rStyle w:val="26"/>
              <w:rFonts w:hint="eastAsia"/>
            </w:rPr>
            <w:t>成品油（气/氢）分销体系发展规划站点布局图</w:t>
          </w:r>
          <w:r>
            <w:rPr>
              <w:rFonts w:hint="eastAsia"/>
            </w:rPr>
            <w:tab/>
          </w:r>
          <w:r>
            <w:rPr>
              <w:rFonts w:hint="eastAsia"/>
            </w:rPr>
            <w:fldChar w:fldCharType="begin"/>
          </w:r>
          <w:r>
            <w:rPr>
              <w:rFonts w:hint="eastAsia"/>
            </w:rPr>
            <w:instrText xml:space="preserve"> </w:instrText>
          </w:r>
          <w:r>
            <w:instrText xml:space="preserve">PAGEREF _Toc237424206 \h</w:instrText>
          </w:r>
          <w:r>
            <w:rPr>
              <w:rFonts w:hint="eastAsia"/>
            </w:rPr>
            <w:instrText xml:space="preserve"> </w:instrText>
          </w:r>
          <w:r>
            <w:rPr>
              <w:rFonts w:hint="eastAsia"/>
            </w:rPr>
            <w:fldChar w:fldCharType="separate"/>
          </w:r>
          <w:r>
            <w:t>57</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"_Toc237424207" </w:instrText>
          </w:r>
          <w:r>
            <w:fldChar w:fldCharType="separate"/>
          </w:r>
          <w:r>
            <w:rPr>
              <w:rStyle w:val="26"/>
              <w:rFonts w:hint="eastAsia"/>
            </w:rPr>
            <w:t>附表1：六盘水市现有加油加气加氢站汇总表</w:t>
          </w:r>
          <w:r>
            <w:rPr>
              <w:rFonts w:hint="eastAsia"/>
            </w:rPr>
            <w:tab/>
          </w:r>
          <w:r>
            <w:rPr>
              <w:rFonts w:hint="eastAsia"/>
            </w:rPr>
            <w:fldChar w:fldCharType="begin"/>
          </w:r>
          <w:r>
            <w:rPr>
              <w:rFonts w:hint="eastAsia"/>
            </w:rPr>
            <w:instrText xml:space="preserve"> </w:instrText>
          </w:r>
          <w:r>
            <w:instrText xml:space="preserve">PAGEREF _Toc237424207 \h</w:instrText>
          </w:r>
          <w:r>
            <w:rPr>
              <w:rFonts w:hint="eastAsia"/>
            </w:rPr>
            <w:instrText xml:space="preserve"> </w:instrText>
          </w:r>
          <w:r>
            <w:rPr>
              <w:rFonts w:hint="eastAsia"/>
            </w:rPr>
            <w:fldChar w:fldCharType="separate"/>
          </w:r>
          <w:r>
            <w:t>58</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"_Toc237424208" </w:instrText>
          </w:r>
          <w:r>
            <w:fldChar w:fldCharType="separate"/>
          </w:r>
          <w:r>
            <w:rPr>
              <w:rStyle w:val="26"/>
              <w:rFonts w:hint="eastAsia"/>
            </w:rPr>
            <w:t>附表2：截止目前已批</w:t>
          </w:r>
          <w:r>
            <w:rPr>
              <w:rStyle w:val="26"/>
              <w:rFonts w:hint="eastAsia"/>
              <w:lang w:eastAsia="zh-CN"/>
            </w:rPr>
            <w:t>“</w:t>
          </w:r>
          <w:r>
            <w:rPr>
              <w:rStyle w:val="26"/>
              <w:rFonts w:hint="eastAsia"/>
            </w:rPr>
            <w:t>规划确认</w:t>
          </w:r>
          <w:r>
            <w:rPr>
              <w:rStyle w:val="26"/>
              <w:rFonts w:hint="eastAsia"/>
              <w:lang w:eastAsia="zh-CN"/>
            </w:rPr>
            <w:t>”</w:t>
          </w:r>
          <w:r>
            <w:rPr>
              <w:rStyle w:val="26"/>
              <w:rFonts w:hint="eastAsia"/>
            </w:rPr>
            <w:t>在建加油站清单</w:t>
          </w:r>
          <w:r>
            <w:rPr>
              <w:rFonts w:hint="eastAsia"/>
            </w:rPr>
            <w:tab/>
          </w:r>
          <w:r>
            <w:rPr>
              <w:rFonts w:hint="eastAsia"/>
            </w:rPr>
            <w:fldChar w:fldCharType="begin"/>
          </w:r>
          <w:r>
            <w:rPr>
              <w:rFonts w:hint="eastAsia"/>
            </w:rPr>
            <w:instrText xml:space="preserve"> </w:instrText>
          </w:r>
          <w:r>
            <w:instrText xml:space="preserve">PAGEREF _Toc237424208 \h</w:instrText>
          </w:r>
          <w:r>
            <w:rPr>
              <w:rFonts w:hint="eastAsia"/>
            </w:rPr>
            <w:instrText xml:space="preserve"> </w:instrText>
          </w:r>
          <w:r>
            <w:rPr>
              <w:rFonts w:hint="eastAsia"/>
            </w:rPr>
            <w:fldChar w:fldCharType="separate"/>
          </w:r>
          <w:r>
            <w:t>74</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"_Toc237424209" </w:instrText>
          </w:r>
          <w:r>
            <w:fldChar w:fldCharType="separate"/>
          </w:r>
          <w:r>
            <w:rPr>
              <w:rStyle w:val="26"/>
              <w:rFonts w:hint="eastAsia"/>
            </w:rPr>
            <w:t>附表3：2026—2030年六盘水市新增加油站清单</w:t>
          </w:r>
          <w:r>
            <w:rPr>
              <w:rFonts w:hint="eastAsia"/>
            </w:rPr>
            <w:tab/>
          </w:r>
          <w:r>
            <w:rPr>
              <w:rFonts w:hint="eastAsia"/>
            </w:rPr>
            <w:fldChar w:fldCharType="begin"/>
          </w:r>
          <w:r>
            <w:rPr>
              <w:rFonts w:hint="eastAsia"/>
            </w:rPr>
            <w:instrText xml:space="preserve"> </w:instrText>
          </w:r>
          <w:r>
            <w:instrText xml:space="preserve">PAGEREF _Toc237424209 \h</w:instrText>
          </w:r>
          <w:r>
            <w:rPr>
              <w:rFonts w:hint="eastAsia"/>
            </w:rPr>
            <w:instrText xml:space="preserve"> </w:instrText>
          </w:r>
          <w:r>
            <w:rPr>
              <w:rFonts w:hint="eastAsia"/>
            </w:rPr>
            <w:fldChar w:fldCharType="separate"/>
          </w:r>
          <w:r>
            <w:t>76</w:t>
          </w:r>
          <w:r>
            <w:rPr>
              <w:rFonts w:hint="eastAsia"/>
            </w:rPr>
            <w:fldChar w:fldCharType="end"/>
          </w:r>
          <w:r>
            <w:rPr>
              <w:rFonts w:hint="eastAsia"/>
            </w:rPr>
            <w:fldChar w:fldCharType="end"/>
          </w:r>
        </w:p>
        <w:p>
          <w:pPr>
            <w:pStyle w:val="15"/>
            <w:tabs>
              <w:tab w:val="right" w:leader="dot" w:pos="8948"/>
            </w:tabs>
            <w:rPr>
              <w:rFonts w:hint="eastAsia" w:asciiTheme="minorHAnsi" w:hAnsiTheme="minorHAnsi" w:eastAsiaTheme="minorEastAsia"/>
              <w:bCs w:val="0"/>
              <w:color w:val="auto"/>
              <w:sz w:val="22"/>
              <w14:ligatures w14:val="standardContextual"/>
            </w:rPr>
          </w:pPr>
          <w:r>
            <w:fldChar w:fldCharType="begin"/>
          </w:r>
          <w:r>
            <w:instrText xml:space="preserve"> HYPERLINK \l "_Toc237424210" </w:instrText>
          </w:r>
          <w:r>
            <w:fldChar w:fldCharType="separate"/>
          </w:r>
          <w:r>
            <w:rPr>
              <w:rStyle w:val="26"/>
              <w:rFonts w:hint="eastAsia"/>
            </w:rPr>
            <w:t>附表4：2026—2030年六盘水市改造/新增加气加氢站清单</w:t>
          </w:r>
          <w:r>
            <w:rPr>
              <w:rFonts w:hint="eastAsia"/>
            </w:rPr>
            <w:tab/>
          </w:r>
          <w:r>
            <w:rPr>
              <w:rFonts w:hint="eastAsia"/>
            </w:rPr>
            <w:fldChar w:fldCharType="begin"/>
          </w:r>
          <w:r>
            <w:rPr>
              <w:rFonts w:hint="eastAsia"/>
            </w:rPr>
            <w:instrText xml:space="preserve"> </w:instrText>
          </w:r>
          <w:r>
            <w:instrText xml:space="preserve">PAGEREF _Toc237424210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pPr>
            <w:spacing w:line="480" w:lineRule="exact"/>
            <w:ind w:firstLine="640"/>
          </w:pPr>
          <w:r>
            <w:rPr>
              <w:rFonts w:eastAsia="黑体"/>
              <w:bCs/>
              <w:szCs w:val="24"/>
            </w:rPr>
            <w:fldChar w:fldCharType="end"/>
          </w:r>
        </w:p>
      </w:sdtContent>
    </w:sdt>
    <w:p>
      <w:pPr>
        <w:pStyle w:val="2"/>
        <w:sectPr>
          <w:footerReference r:id="rId11" w:type="default"/>
          <w:footerReference r:id="rId12" w:type="even"/>
          <w:pgSz w:w="11906" w:h="16838"/>
          <w:pgMar w:top="2098" w:right="1417" w:bottom="1984" w:left="1531" w:header="851" w:footer="992" w:gutter="0"/>
          <w:pgNumType w:fmt="upperRoman" w:start="1"/>
          <w:cols w:space="425" w:num="1"/>
          <w:docGrid w:type="lines" w:linePitch="312" w:charSpace="0"/>
        </w:sectPr>
      </w:pPr>
      <w:bookmarkStart w:id="223" w:name="_GoBack"/>
      <w:bookmarkEnd w:id="223"/>
    </w:p>
    <w:p>
      <w:pPr>
        <w:pStyle w:val="2"/>
      </w:pPr>
      <w:bookmarkStart w:id="1" w:name="_Toc10858"/>
      <w:bookmarkStart w:id="2" w:name="_Toc5814"/>
      <w:bookmarkStart w:id="3" w:name="_Toc17495"/>
      <w:bookmarkStart w:id="4" w:name="_Toc237424166"/>
      <w:r>
        <w:rPr>
          <w:rFonts w:hint="eastAsia"/>
        </w:rPr>
        <w:t>一、规划概述</w:t>
      </w:r>
      <w:bookmarkEnd w:id="0"/>
      <w:bookmarkEnd w:id="1"/>
      <w:bookmarkEnd w:id="2"/>
      <w:bookmarkEnd w:id="3"/>
      <w:bookmarkEnd w:id="4"/>
    </w:p>
    <w:p>
      <w:pPr>
        <w:pStyle w:val="3"/>
      </w:pPr>
      <w:bookmarkStart w:id="5" w:name="_Toc26681"/>
      <w:bookmarkStart w:id="6" w:name="_Toc228174632"/>
      <w:bookmarkStart w:id="7" w:name="_Toc14584"/>
      <w:bookmarkStart w:id="8" w:name="_Toc4771"/>
      <w:bookmarkStart w:id="9" w:name="_Toc237424167"/>
      <w:r>
        <w:rPr>
          <w:rFonts w:hint="eastAsia"/>
        </w:rPr>
        <w:t>（一）规划背景</w:t>
      </w:r>
      <w:bookmarkEnd w:id="5"/>
      <w:bookmarkEnd w:id="6"/>
      <w:bookmarkEnd w:id="7"/>
      <w:bookmarkEnd w:id="8"/>
      <w:bookmarkEnd w:id="9"/>
    </w:p>
    <w:p>
      <w:pPr>
        <w:ind w:firstLine="640"/>
      </w:pPr>
      <w:r>
        <w:rPr>
          <w:rFonts w:hint="eastAsia"/>
          <w:lang w:eastAsia="zh-CN"/>
        </w:rPr>
        <w:t>“</w:t>
      </w:r>
      <w:r>
        <w:rPr>
          <w:rFonts w:hint="eastAsia"/>
        </w:rPr>
        <w:t>十五五</w:t>
      </w:r>
      <w:r>
        <w:rPr>
          <w:rFonts w:hint="eastAsia"/>
          <w:lang w:eastAsia="zh-CN"/>
        </w:rPr>
        <w:t>”</w:t>
      </w:r>
      <w:r>
        <w:rPr>
          <w:rFonts w:hint="eastAsia"/>
        </w:rPr>
        <w:t>时期，是我国加快构建新型能源体系、筑牢国家能源安全屏障的关键五年，是贵州省推动成品油流通高质量发展、健全现代化能源分销服务网络的攻坚阶段，更是六盘水市深化能源结构战略性转型、推进</w:t>
      </w:r>
      <w:r>
        <w:rPr>
          <w:rFonts w:hint="eastAsia"/>
          <w:lang w:eastAsia="zh-CN"/>
        </w:rPr>
        <w:t>“</w:t>
      </w:r>
      <w:r>
        <w:rPr>
          <w:rFonts w:hint="eastAsia"/>
        </w:rPr>
        <w:t>煤—焦—电—气—化</w:t>
      </w:r>
      <w:r>
        <w:rPr>
          <w:rFonts w:hint="eastAsia"/>
          <w:lang w:eastAsia="zh-CN"/>
        </w:rPr>
        <w:t>”</w:t>
      </w:r>
      <w:r>
        <w:rPr>
          <w:rFonts w:hint="eastAsia"/>
        </w:rPr>
        <w:t>全产业链升级、实现从</w:t>
      </w:r>
      <w:r>
        <w:rPr>
          <w:rFonts w:hint="eastAsia"/>
          <w:lang w:eastAsia="zh-CN"/>
        </w:rPr>
        <w:t>“</w:t>
      </w:r>
      <w:r>
        <w:rPr>
          <w:rFonts w:hint="eastAsia"/>
        </w:rPr>
        <w:t>江南煤都</w:t>
      </w:r>
      <w:r>
        <w:rPr>
          <w:rFonts w:hint="eastAsia"/>
          <w:lang w:eastAsia="zh-CN"/>
        </w:rPr>
        <w:t>”</w:t>
      </w:r>
      <w:r>
        <w:rPr>
          <w:rFonts w:hint="eastAsia"/>
        </w:rPr>
        <w:t>向</w:t>
      </w:r>
      <w:r>
        <w:rPr>
          <w:rFonts w:hint="eastAsia"/>
          <w:lang w:eastAsia="zh-CN"/>
        </w:rPr>
        <w:t>“</w:t>
      </w:r>
      <w:r>
        <w:rPr>
          <w:rFonts w:hint="eastAsia"/>
        </w:rPr>
        <w:t>生态绿都</w:t>
      </w:r>
      <w:r>
        <w:rPr>
          <w:rFonts w:hint="eastAsia"/>
          <w:lang w:eastAsia="zh-CN"/>
        </w:rPr>
        <w:t>”</w:t>
      </w:r>
      <w:r>
        <w:rPr>
          <w:rFonts w:hint="eastAsia"/>
        </w:rPr>
        <w:t>跨越发展的核心窗口期。为全面贯彻落实国家成品油流通管理、车用燃料加注项目规范、能源绿色低碳转型等系列决策部署，严格对标《贵州省成品油流通管理实施细则》（黔商发〔2025〕31号）、《关于做好成品油（气）分销体系</w:t>
      </w:r>
      <w:r>
        <w:rPr>
          <w:rFonts w:hint="eastAsia"/>
          <w:lang w:eastAsia="zh-CN"/>
        </w:rPr>
        <w:t>“</w:t>
      </w:r>
      <w:r>
        <w:rPr>
          <w:rFonts w:hint="eastAsia"/>
        </w:rPr>
        <w:t>十五五</w:t>
      </w:r>
      <w:r>
        <w:rPr>
          <w:rFonts w:hint="eastAsia"/>
          <w:lang w:eastAsia="zh-CN"/>
        </w:rPr>
        <w:t>”</w:t>
      </w:r>
      <w:r>
        <w:rPr>
          <w:rFonts w:hint="eastAsia"/>
        </w:rPr>
        <w:t>发展规划编制工作的通知》（黔商发〔2025〕20号）等省级制度规范与工作要求，科学统筹全市成品油零售、车用加气、新能源加注设施的一体化布局与规范发展，筑牢区域能源保供底线，引导行业转型升级，特编制本规划。</w:t>
      </w:r>
    </w:p>
    <w:p>
      <w:pPr>
        <w:ind w:firstLine="640"/>
      </w:pPr>
      <w:r>
        <w:rPr>
          <w:rFonts w:hint="eastAsia"/>
        </w:rPr>
        <w:t>当前，六盘水市产业升级、新型城镇化建设与能源结构优化同步推进，传统成品油刚性保供需求仍有稳定支撑，新能源汽车普及、氢能产业培育、综合能源服务需求快速增长，对现有分销体系的布局合理性、功能适配性、管理规范性提出了全新要求。现有成品油（气、氢）零售网络仍存在城乡布局不均衡、站点功能单一、转型适配性不足、规范化运营水平参差不齐等短板，难以完全适配</w:t>
      </w:r>
      <w:r>
        <w:rPr>
          <w:rFonts w:hint="eastAsia"/>
          <w:lang w:eastAsia="zh-CN"/>
        </w:rPr>
        <w:t>“</w:t>
      </w:r>
      <w:r>
        <w:rPr>
          <w:rFonts w:hint="eastAsia"/>
        </w:rPr>
        <w:t>十五五</w:t>
      </w:r>
      <w:r>
        <w:rPr>
          <w:rFonts w:hint="eastAsia"/>
          <w:lang w:eastAsia="zh-CN"/>
        </w:rPr>
        <w:t>”</w:t>
      </w:r>
      <w:r>
        <w:rPr>
          <w:rFonts w:hint="eastAsia"/>
        </w:rPr>
        <w:t>时期全市经济社会高质量发展与能源结构优化的双重需要。本规划将以</w:t>
      </w:r>
      <w:r>
        <w:rPr>
          <w:rFonts w:hint="eastAsia"/>
          <w:lang w:eastAsia="zh-CN"/>
        </w:rPr>
        <w:t>“</w:t>
      </w:r>
      <w:r>
        <w:rPr>
          <w:rFonts w:hint="eastAsia"/>
        </w:rPr>
        <w:t>总量控制、存量优化、功能复合、安全规范、绿色低碳</w:t>
      </w:r>
      <w:r>
        <w:rPr>
          <w:rFonts w:hint="eastAsia"/>
          <w:lang w:eastAsia="zh-CN"/>
        </w:rPr>
        <w:t>”</w:t>
      </w:r>
      <w:r>
        <w:rPr>
          <w:rFonts w:hint="eastAsia"/>
        </w:rPr>
        <w:t>为核心原则，统筹推进传统加油网点提质升级、车用加气设施规范布局、加氢充电设施融合建设，着力构建布局合理、安全高效、多能互补、服务完善的加油加气加氢充电服务体系，为全市经济社会可持续发展提供坚实的能源流通保障。</w:t>
      </w:r>
    </w:p>
    <w:p>
      <w:pPr>
        <w:pStyle w:val="3"/>
      </w:pPr>
      <w:bookmarkStart w:id="10" w:name="_Toc237424168"/>
      <w:bookmarkStart w:id="11" w:name="_Toc30617"/>
      <w:bookmarkStart w:id="12" w:name="_Toc228174633"/>
      <w:bookmarkStart w:id="13" w:name="_Toc6992"/>
      <w:bookmarkStart w:id="14" w:name="_Toc26649"/>
      <w:r>
        <w:rPr>
          <w:rFonts w:hint="eastAsia"/>
        </w:rPr>
        <w:t>（二）规划依据</w:t>
      </w:r>
      <w:bookmarkEnd w:id="10"/>
      <w:bookmarkEnd w:id="11"/>
      <w:bookmarkEnd w:id="12"/>
      <w:bookmarkEnd w:id="13"/>
      <w:bookmarkEnd w:id="14"/>
    </w:p>
    <w:p>
      <w:pPr>
        <w:ind w:firstLine="640"/>
      </w:pPr>
      <w:r>
        <w:rPr>
          <w:rFonts w:hint="eastAsia"/>
        </w:rPr>
        <w:t>1.《中华人民共和国城乡规划法》（2019年修订）；</w:t>
      </w:r>
    </w:p>
    <w:p>
      <w:pPr>
        <w:ind w:firstLine="640"/>
      </w:pPr>
      <w:r>
        <w:rPr>
          <w:rFonts w:hint="eastAsia"/>
        </w:rPr>
        <w:t>2.《中华人民共和国消防法》（2021年修正）；</w:t>
      </w:r>
    </w:p>
    <w:p>
      <w:pPr>
        <w:ind w:firstLine="640"/>
      </w:pPr>
      <w:r>
        <w:rPr>
          <w:rFonts w:hint="eastAsia"/>
        </w:rPr>
        <w:t>3.《中华人民共和国安全生产法》（2021年修正）；</w:t>
      </w:r>
    </w:p>
    <w:p>
      <w:pPr>
        <w:ind w:firstLine="640"/>
      </w:pPr>
      <w:r>
        <w:rPr>
          <w:rFonts w:hint="eastAsia"/>
        </w:rPr>
        <w:t>4.《中华人民共和国生态环境保护法典》；</w:t>
      </w:r>
    </w:p>
    <w:p>
      <w:pPr>
        <w:ind w:firstLine="640"/>
      </w:pPr>
      <w:r>
        <w:rPr>
          <w:rFonts w:hint="eastAsia"/>
        </w:rPr>
        <w:t>5.《中华人民共和国土地管理法》（2019年修正）；</w:t>
      </w:r>
    </w:p>
    <w:p>
      <w:pPr>
        <w:ind w:firstLine="640"/>
      </w:pPr>
      <w:r>
        <w:rPr>
          <w:rFonts w:hint="eastAsia"/>
        </w:rPr>
        <w:t>6.《中华人民共和国土壤污染防治法》（2018年公布）；</w:t>
      </w:r>
    </w:p>
    <w:p>
      <w:pPr>
        <w:ind w:firstLine="640"/>
      </w:pPr>
      <w:r>
        <w:rPr>
          <w:rFonts w:hint="eastAsia"/>
        </w:rPr>
        <w:t>7.</w:t>
      </w:r>
      <w:r>
        <w:t>《危险化学品安全管理条例》（国务院令第645号</w:t>
      </w:r>
      <w:r>
        <w:rPr>
          <w:rFonts w:hint="eastAsia"/>
        </w:rPr>
        <w:t>）；</w:t>
      </w:r>
    </w:p>
    <w:p>
      <w:pPr>
        <w:ind w:firstLine="640"/>
      </w:pPr>
      <w:r>
        <w:rPr>
          <w:rFonts w:hint="eastAsia"/>
        </w:rPr>
        <w:t>8.《国务院办公厅关于推动成品油流通高质量发展的意见》（国办发〔2025〕5号）；</w:t>
      </w:r>
    </w:p>
    <w:p>
      <w:pPr>
        <w:ind w:firstLine="640"/>
      </w:pPr>
      <w:r>
        <w:rPr>
          <w:rFonts w:hint="eastAsia"/>
        </w:rPr>
        <w:t>9.</w:t>
      </w:r>
      <w:r>
        <w:t>《加快构建碳排放双控制度体系工作方案》国办发〔2024〕39号</w:t>
      </w:r>
      <w:r>
        <w:rPr>
          <w:rFonts w:hint="eastAsia"/>
        </w:rPr>
        <w:t>；</w:t>
      </w:r>
    </w:p>
    <w:p>
      <w:pPr>
        <w:ind w:firstLine="640"/>
      </w:pPr>
      <w:r>
        <w:rPr>
          <w:rFonts w:hint="eastAsia"/>
        </w:rPr>
        <w:t>10.《成品油流通管理办法》（商务部令2025年第4号）；</w:t>
      </w:r>
    </w:p>
    <w:p>
      <w:pPr>
        <w:ind w:firstLine="640"/>
      </w:pPr>
      <w:r>
        <w:rPr>
          <w:rFonts w:hint="eastAsia"/>
        </w:rPr>
        <w:t>11.《汽车加油加气加氢站技术标准》（GB50156-2021）；</w:t>
      </w:r>
    </w:p>
    <w:p>
      <w:pPr>
        <w:ind w:firstLine="640"/>
      </w:pPr>
      <w:r>
        <w:rPr>
          <w:rFonts w:hint="eastAsia"/>
        </w:rPr>
        <w:t>12.</w:t>
      </w:r>
      <w:r>
        <w:t>《城市综合交通体系规划标准》（GB/T51328-2018）</w:t>
      </w:r>
      <w:r>
        <w:rPr>
          <w:rFonts w:hint="eastAsia"/>
        </w:rPr>
        <w:t>；</w:t>
      </w:r>
    </w:p>
    <w:p>
      <w:pPr>
        <w:ind w:firstLine="640"/>
      </w:pPr>
      <w:r>
        <w:rPr>
          <w:rFonts w:hint="eastAsia"/>
        </w:rPr>
        <w:t>13.《城市居住区规划设计标准》（GB50180-2018）；</w:t>
      </w:r>
    </w:p>
    <w:p>
      <w:pPr>
        <w:ind w:firstLine="640"/>
      </w:pPr>
      <w:r>
        <w:rPr>
          <w:rFonts w:hint="eastAsia"/>
        </w:rPr>
        <w:t>14.《地下工程防水技术规范》（GB50108-2008）；</w:t>
      </w:r>
    </w:p>
    <w:p>
      <w:pPr>
        <w:ind w:firstLine="640"/>
      </w:pPr>
      <w:r>
        <w:rPr>
          <w:rFonts w:hint="eastAsia"/>
        </w:rPr>
        <w:t>15.《建筑设计防火规范》（GB50016-2014）（2018年版）；</w:t>
      </w:r>
    </w:p>
    <w:p>
      <w:pPr>
        <w:ind w:firstLine="640"/>
      </w:pPr>
      <w:r>
        <w:rPr>
          <w:rFonts w:hint="eastAsia"/>
        </w:rPr>
        <w:t>16.《建筑防火通用规范》（GB55037-2022）；</w:t>
      </w:r>
    </w:p>
    <w:p>
      <w:pPr>
        <w:ind w:firstLine="640"/>
      </w:pPr>
      <w:r>
        <w:rPr>
          <w:rFonts w:hint="eastAsia"/>
        </w:rPr>
        <w:t>17.《消防设施通用规范》（GB55036-2022）；</w:t>
      </w:r>
    </w:p>
    <w:p>
      <w:pPr>
        <w:ind w:firstLine="640"/>
      </w:pPr>
      <w:r>
        <w:rPr>
          <w:rFonts w:hint="eastAsia"/>
        </w:rPr>
        <w:t>18.《加油站大气污染物排放标准》（GB20952-2020）；</w:t>
      </w:r>
    </w:p>
    <w:p>
      <w:pPr>
        <w:ind w:firstLine="640"/>
      </w:pPr>
      <w:r>
        <w:rPr>
          <w:rFonts w:hint="eastAsia"/>
        </w:rPr>
        <w:t>19.《成品油零售企业管理技术规范》（SB/T10390-2004）；</w:t>
      </w:r>
    </w:p>
    <w:p>
      <w:pPr>
        <w:ind w:firstLine="640"/>
      </w:pPr>
      <w:r>
        <w:rPr>
          <w:rFonts w:hint="eastAsia"/>
        </w:rPr>
        <w:t>20.《水上加油船管理计划规范》（SB/T10475-2012）；</w:t>
      </w:r>
    </w:p>
    <w:p>
      <w:pPr>
        <w:ind w:firstLine="640"/>
      </w:pPr>
      <w:r>
        <w:rPr>
          <w:rFonts w:hint="eastAsia"/>
        </w:rPr>
        <w:t>21.《贵州省成品油流通管理实施细则》（黔商发〔2025〕31号）；</w:t>
      </w:r>
    </w:p>
    <w:p>
      <w:pPr>
        <w:ind w:firstLine="640"/>
      </w:pPr>
      <w:r>
        <w:rPr>
          <w:rFonts w:hint="eastAsia"/>
        </w:rPr>
        <w:t>22.《省商务厅关于做好成品油（气）分销体系</w:t>
      </w:r>
      <w:r>
        <w:rPr>
          <w:rFonts w:hint="eastAsia"/>
          <w:lang w:eastAsia="zh-CN"/>
        </w:rPr>
        <w:t>“</w:t>
      </w:r>
      <w:r>
        <w:rPr>
          <w:rFonts w:hint="eastAsia"/>
        </w:rPr>
        <w:t>十五五</w:t>
      </w:r>
      <w:r>
        <w:rPr>
          <w:rFonts w:hint="eastAsia"/>
          <w:lang w:eastAsia="zh-CN"/>
        </w:rPr>
        <w:t>”</w:t>
      </w:r>
      <w:r>
        <w:rPr>
          <w:rFonts w:hint="eastAsia"/>
        </w:rPr>
        <w:t>发展规划编制工作的通知》（黔商发〔2025〕20号）；</w:t>
      </w:r>
    </w:p>
    <w:p>
      <w:pPr>
        <w:ind w:firstLine="640"/>
      </w:pPr>
      <w:r>
        <w:rPr>
          <w:rFonts w:hint="eastAsia"/>
        </w:rPr>
        <w:t>23.《六盘水市国土空间总体规划（2021—2035年）》；</w:t>
      </w:r>
    </w:p>
    <w:p>
      <w:pPr>
        <w:ind w:firstLine="640"/>
      </w:pPr>
      <w:r>
        <w:rPr>
          <w:rFonts w:hint="eastAsia"/>
        </w:rPr>
        <w:t>24.《六枝特区国土空间总体规划（2021-2035年）》；</w:t>
      </w:r>
    </w:p>
    <w:p>
      <w:pPr>
        <w:ind w:firstLine="640"/>
      </w:pPr>
      <w:r>
        <w:rPr>
          <w:rFonts w:hint="eastAsia"/>
        </w:rPr>
        <w:t>25.《盘州市国土空间总体规划（2021—2035年）》；</w:t>
      </w:r>
    </w:p>
    <w:p>
      <w:pPr>
        <w:ind w:firstLine="640"/>
      </w:pPr>
      <w:r>
        <w:rPr>
          <w:rFonts w:hint="eastAsia"/>
        </w:rPr>
        <w:t>26.《六盘水市水城区国土空间总体规划（2021—2035年）》；</w:t>
      </w:r>
    </w:p>
    <w:p>
      <w:pPr>
        <w:ind w:firstLine="640"/>
      </w:pPr>
      <w:r>
        <w:rPr>
          <w:rFonts w:hint="eastAsia"/>
        </w:rPr>
        <w:t>27.《六盘水市钟山区国土空间总体规划（2021—2035年）》；</w:t>
      </w:r>
    </w:p>
    <w:p>
      <w:pPr>
        <w:ind w:firstLine="640"/>
      </w:pPr>
      <w:r>
        <w:rPr>
          <w:rFonts w:hint="eastAsia"/>
        </w:rPr>
        <w:t>28.《六盘水市中心城区详细规划》；</w:t>
      </w:r>
    </w:p>
    <w:p>
      <w:pPr>
        <w:ind w:firstLine="640"/>
      </w:pPr>
      <w:r>
        <w:rPr>
          <w:rFonts w:hint="eastAsia"/>
        </w:rPr>
        <w:t>29.《建设项目交通影响评价技术标准》（CJJ/T141-2010）；</w:t>
      </w:r>
    </w:p>
    <w:p>
      <w:pPr>
        <w:ind w:firstLine="640"/>
      </w:pPr>
      <w:r>
        <w:rPr>
          <w:rFonts w:hint="eastAsia"/>
        </w:rPr>
        <w:t>30.《生态环境分区管控技术指南 总纲》（HJ 1430-2025）；</w:t>
      </w:r>
    </w:p>
    <w:p>
      <w:pPr>
        <w:ind w:firstLine="640"/>
      </w:pPr>
      <w:r>
        <w:rPr>
          <w:rFonts w:hint="eastAsia"/>
        </w:rPr>
        <w:t>31.《特种设备生产和充装单位许可规则》（TSG 07-2019）；</w:t>
      </w:r>
    </w:p>
    <w:p>
      <w:pPr>
        <w:ind w:firstLine="640"/>
      </w:pPr>
      <w:r>
        <w:rPr>
          <w:rFonts w:hint="eastAsia"/>
        </w:rPr>
        <w:t>32.《中华人民共和国危险化学品安全法》；</w:t>
      </w:r>
    </w:p>
    <w:p>
      <w:pPr>
        <w:ind w:firstLine="640"/>
      </w:pPr>
      <w:r>
        <w:rPr>
          <w:rFonts w:hint="eastAsia"/>
        </w:rPr>
        <w:t>33.国家及地方其他相关法律法规、技术标准与规范。</w:t>
      </w:r>
    </w:p>
    <w:p>
      <w:pPr>
        <w:pStyle w:val="3"/>
      </w:pPr>
      <w:bookmarkStart w:id="15" w:name="_Toc228174634"/>
      <w:bookmarkStart w:id="16" w:name="_Toc237424169"/>
      <w:bookmarkStart w:id="17" w:name="_Toc16082"/>
      <w:bookmarkStart w:id="18" w:name="_Toc2334"/>
      <w:bookmarkStart w:id="19" w:name="_Toc19719"/>
      <w:r>
        <w:rPr>
          <w:rFonts w:hint="eastAsia"/>
        </w:rPr>
        <w:t>（三）</w:t>
      </w:r>
      <w:r>
        <w:rPr>
          <w:rFonts w:hint="eastAsia" w:asciiTheme="majorHAnsi" w:hAnsiTheme="majorHAnsi"/>
        </w:rPr>
        <w:t>规划</w:t>
      </w:r>
      <w:r>
        <w:rPr>
          <w:rFonts w:hint="eastAsia"/>
        </w:rPr>
        <w:t>范围和期限</w:t>
      </w:r>
      <w:bookmarkEnd w:id="15"/>
      <w:bookmarkEnd w:id="16"/>
      <w:bookmarkEnd w:id="17"/>
      <w:bookmarkEnd w:id="18"/>
      <w:bookmarkEnd w:id="19"/>
    </w:p>
    <w:p>
      <w:pPr>
        <w:ind w:firstLine="640"/>
      </w:pPr>
      <w:r>
        <w:rPr>
          <w:rFonts w:hint="eastAsia"/>
        </w:rPr>
        <w:t>规划范围：本规划的范围为六盘水市现行政辖区范围，涵盖4个县级行政区，92个乡（镇、街道），1152个行政村（社区）。</w:t>
      </w:r>
    </w:p>
    <w:p>
      <w:pPr>
        <w:ind w:firstLine="640"/>
      </w:pPr>
      <w:r>
        <w:rPr>
          <w:rFonts w:hint="eastAsia"/>
        </w:rPr>
        <w:t>规划期限：本规划基准年为2025年，规划期限为2026—2030年（</w:t>
      </w:r>
      <w:r>
        <w:rPr>
          <w:rFonts w:hint="eastAsia"/>
          <w:lang w:eastAsia="zh-CN"/>
        </w:rPr>
        <w:t>“</w:t>
      </w:r>
      <w:r>
        <w:rPr>
          <w:rFonts w:hint="eastAsia"/>
        </w:rPr>
        <w:t>十五五</w:t>
      </w:r>
      <w:r>
        <w:rPr>
          <w:rFonts w:hint="eastAsia"/>
          <w:lang w:eastAsia="zh-CN"/>
        </w:rPr>
        <w:t>”</w:t>
      </w:r>
      <w:r>
        <w:rPr>
          <w:rFonts w:hint="eastAsia"/>
        </w:rPr>
        <w:t>时期），站点布局目标展望至2035年。</w:t>
      </w:r>
    </w:p>
    <w:p>
      <w:pPr>
        <w:pStyle w:val="3"/>
      </w:pPr>
      <w:bookmarkStart w:id="20" w:name="_Toc5574"/>
      <w:bookmarkStart w:id="21" w:name="_Toc28836"/>
      <w:bookmarkStart w:id="22" w:name="_Toc32574"/>
      <w:bookmarkStart w:id="23" w:name="_Toc237424170"/>
      <w:bookmarkStart w:id="24" w:name="_Toc228174635"/>
      <w:r>
        <w:rPr>
          <w:rFonts w:hint="eastAsia"/>
        </w:rPr>
        <w:t>（四）规划对象与业态定义</w:t>
      </w:r>
      <w:bookmarkEnd w:id="20"/>
      <w:bookmarkEnd w:id="21"/>
      <w:bookmarkEnd w:id="22"/>
      <w:bookmarkEnd w:id="23"/>
      <w:bookmarkEnd w:id="24"/>
    </w:p>
    <w:p>
      <w:pPr>
        <w:pStyle w:val="4"/>
        <w:ind w:firstLine="643"/>
      </w:pPr>
      <w:r>
        <w:rPr>
          <w:rFonts w:hint="eastAsia"/>
        </w:rPr>
        <w:t>1.</w:t>
      </w:r>
      <w:r>
        <w:t>规划对象</w:t>
      </w:r>
    </w:p>
    <w:p>
      <w:pPr>
        <w:ind w:firstLine="640"/>
      </w:pPr>
      <w:r>
        <w:rPr>
          <w:rFonts w:hint="eastAsia"/>
        </w:rPr>
        <w:t>本规划对象为行政区域内机动车燃料加注及电能补给基础设施，包含独立加油站、独立加气站、独立加氢站，以及加油、加气、加氢、充电任意组合的合建站与一体化综合能源站。</w:t>
      </w:r>
    </w:p>
    <w:p>
      <w:pPr>
        <w:ind w:firstLine="640"/>
      </w:pPr>
      <w:r>
        <w:rPr>
          <w:rFonts w:hint="eastAsia"/>
        </w:rPr>
        <w:t>本规划所涉车用补能介质包括汽油、柴油（含生物柴油）、液化石油气（LPG）、压缩天然气（CNG）、液化天然气（LNG）、甲醇燃料、氢气及电动汽车充电电能。</w:t>
      </w:r>
    </w:p>
    <w:p>
      <w:pPr>
        <w:pStyle w:val="4"/>
        <w:ind w:firstLine="643"/>
      </w:pPr>
      <w:r>
        <w:rPr>
          <w:rFonts w:hint="eastAsia"/>
        </w:rPr>
        <w:t>2.</w:t>
      </w:r>
      <w:r>
        <w:t>业态定义</w:t>
      </w:r>
    </w:p>
    <w:p>
      <w:pPr>
        <w:ind w:firstLine="643"/>
      </w:pPr>
      <w:r>
        <w:rPr>
          <w:rFonts w:hint="eastAsia"/>
          <w:b/>
          <w:bCs/>
        </w:rPr>
        <w:t>加油站：</w:t>
      </w:r>
      <w:r>
        <w:rPr>
          <w:rFonts w:hint="eastAsia"/>
        </w:rPr>
        <w:t>具有储油设施，使用加油机为机动车加注汽油（或甲醇汽油、乙醇汽油）、柴油等车用燃油的场所。</w:t>
      </w:r>
    </w:p>
    <w:p>
      <w:pPr>
        <w:ind w:firstLine="643"/>
      </w:pPr>
      <w:r>
        <w:rPr>
          <w:rFonts w:hint="eastAsia"/>
          <w:b/>
          <w:bCs/>
        </w:rPr>
        <w:t>加气站：</w:t>
      </w:r>
      <w:r>
        <w:rPr>
          <w:rFonts w:hint="eastAsia"/>
        </w:rPr>
        <w:t>具有储气设施，使用加气机为机动车加注车用LPG、CNG或LNG等车用燃气的场所。</w:t>
      </w:r>
    </w:p>
    <w:p>
      <w:pPr>
        <w:ind w:firstLine="643"/>
      </w:pPr>
      <w:r>
        <w:rPr>
          <w:rFonts w:hint="eastAsia"/>
          <w:b/>
          <w:bCs/>
        </w:rPr>
        <w:t>加氢站：</w:t>
      </w:r>
      <w:r>
        <w:rPr>
          <w:rFonts w:hint="eastAsia"/>
        </w:rPr>
        <w:t>具备氢气储存、增压、加注设施，为机动车加注氢气、液氢燃料的专用场所，可独立建设，也可与加油、加气、充电设施合建布局。</w:t>
      </w:r>
    </w:p>
    <w:p>
      <w:pPr>
        <w:ind w:firstLine="643"/>
      </w:pPr>
      <w:r>
        <w:rPr>
          <w:rFonts w:hint="eastAsia"/>
          <w:b/>
          <w:bCs/>
        </w:rPr>
        <w:t>充电站：</w:t>
      </w:r>
      <w:r>
        <w:rPr>
          <w:rFonts w:hint="eastAsia"/>
        </w:rPr>
        <w:t>配置专用配电、供电、监控及充电设备，为电动汽车提供交流、直流电能补给服务的专用场所，因审批规划部门为能源部门，本规划所指充电站非独立站点，而是与加油、加气、加氢设施合建为一体化综合能源站。</w:t>
      </w:r>
    </w:p>
    <w:p>
      <w:pPr>
        <w:ind w:firstLine="643"/>
      </w:pPr>
      <w:r>
        <w:rPr>
          <w:rFonts w:hint="eastAsia"/>
          <w:b/>
          <w:bCs/>
        </w:rPr>
        <w:t>综合能源站：</w:t>
      </w:r>
      <w:r>
        <w:rPr>
          <w:rFonts w:hint="eastAsia"/>
        </w:rPr>
        <w:t>为机动车提供汽油、柴油、CNG、LNG、氢气加注及电动汽车充电补能服务的场所；是加油站、加气站、加氢站、充电站单业态独立站点，以及各类油、气、氢、电合建站、一体化综合能源站的统称。</w:t>
      </w:r>
    </w:p>
    <w:p>
      <w:pPr>
        <w:pStyle w:val="2"/>
      </w:pPr>
      <w:bookmarkStart w:id="25" w:name="_Toc237424171"/>
      <w:bookmarkStart w:id="26" w:name="_Toc21190"/>
      <w:bookmarkStart w:id="27" w:name="_Toc9474"/>
      <w:bookmarkStart w:id="28" w:name="_Toc228174636"/>
      <w:bookmarkStart w:id="29" w:name="_Toc6385"/>
      <w:r>
        <w:rPr>
          <w:rFonts w:hint="eastAsia"/>
        </w:rPr>
        <w:t>二、行业发展现状与形势分析</w:t>
      </w:r>
      <w:bookmarkEnd w:id="25"/>
      <w:bookmarkEnd w:id="26"/>
      <w:bookmarkEnd w:id="27"/>
      <w:bookmarkEnd w:id="28"/>
      <w:bookmarkEnd w:id="29"/>
    </w:p>
    <w:p>
      <w:pPr>
        <w:pStyle w:val="3"/>
      </w:pPr>
      <w:bookmarkStart w:id="30" w:name="_Toc28257"/>
      <w:bookmarkStart w:id="31" w:name="_Toc12828"/>
      <w:bookmarkStart w:id="32" w:name="_Toc11577"/>
      <w:bookmarkStart w:id="33" w:name="_Toc237424172"/>
      <w:bookmarkStart w:id="34" w:name="_Toc228174637"/>
      <w:r>
        <w:rPr>
          <w:rFonts w:hint="eastAsia"/>
        </w:rPr>
        <w:t>（一）现状分析</w:t>
      </w:r>
      <w:bookmarkEnd w:id="30"/>
      <w:bookmarkEnd w:id="31"/>
      <w:bookmarkEnd w:id="32"/>
      <w:bookmarkEnd w:id="33"/>
      <w:bookmarkEnd w:id="34"/>
    </w:p>
    <w:p>
      <w:pPr>
        <w:pStyle w:val="4"/>
        <w:ind w:firstLine="643"/>
      </w:pPr>
      <w:r>
        <w:rPr>
          <w:rFonts w:hint="eastAsia"/>
        </w:rPr>
        <w:t>1.经济社会发展情况</w:t>
      </w:r>
    </w:p>
    <w:p>
      <w:pPr>
        <w:ind w:firstLine="640"/>
      </w:pPr>
      <w:r>
        <w:rPr>
          <w:rFonts w:hint="eastAsia"/>
        </w:rPr>
        <w:t>六盘水市地处贵州省西部乌蒙山区，位居川滇黔桂四省结合枢纽节点，是国家</w:t>
      </w:r>
      <w:r>
        <w:rPr>
          <w:rFonts w:hint="eastAsia"/>
          <w:lang w:eastAsia="zh-CN"/>
        </w:rPr>
        <w:t>“</w:t>
      </w:r>
      <w:r>
        <w:rPr>
          <w:rFonts w:hint="eastAsia"/>
        </w:rPr>
        <w:t>三线</w:t>
      </w:r>
      <w:r>
        <w:rPr>
          <w:rFonts w:hint="eastAsia"/>
          <w:lang w:eastAsia="zh-CN"/>
        </w:rPr>
        <w:t>”</w:t>
      </w:r>
      <w:r>
        <w:rPr>
          <w:rFonts w:hint="eastAsia"/>
        </w:rPr>
        <w:t>建设重点布局培育的区域性能源原材料工业核心城市，全域国土面积9914平方公里，常住人口规模稳定在300万人以上。全市煤炭、煤电等传统能源资源禀赋突出，新能源产业加速提质扩容，叠加综合立体交通网全域覆盖，机动车流通体量、能源消费刚需体量稳步攀升，是布局优化加油、加气、加氢、充电一体化综合能源补给基础设施的重点适配区域。</w:t>
      </w:r>
    </w:p>
    <w:p>
      <w:pPr>
        <w:ind w:firstLine="640"/>
      </w:pPr>
      <w:r>
        <w:rPr>
          <w:rFonts w:hint="eastAsia"/>
          <w:lang w:eastAsia="zh-CN"/>
        </w:rPr>
        <w:t>“</w:t>
      </w:r>
      <w:r>
        <w:rPr>
          <w:rFonts w:hint="eastAsia"/>
        </w:rPr>
        <w:t>十四五</w:t>
      </w:r>
      <w:r>
        <w:rPr>
          <w:rFonts w:hint="eastAsia"/>
          <w:lang w:eastAsia="zh-CN"/>
        </w:rPr>
        <w:t>”</w:t>
      </w:r>
      <w:r>
        <w:rPr>
          <w:rFonts w:hint="eastAsia"/>
        </w:rPr>
        <w:t>期间，六盘水市经济社会发展大盘稳中提质、稳中向好，核心经济运行指标持续稳健递增，综合承载能力持续提档升级，为全域车用综合能源补给站点统筹布局、规范建设、长效运营筑牢坚实经济底盘。2025年全市地区生产总值达标1777.75亿元，</w:t>
      </w:r>
      <w:r>
        <w:rPr>
          <w:rFonts w:hint="eastAsia"/>
          <w:lang w:eastAsia="zh-CN"/>
        </w:rPr>
        <w:t>“</w:t>
      </w:r>
      <w:r>
        <w:rPr>
          <w:rFonts w:hint="eastAsia"/>
        </w:rPr>
        <w:t>十四五</w:t>
      </w:r>
      <w:r>
        <w:rPr>
          <w:rFonts w:hint="eastAsia"/>
          <w:lang w:eastAsia="zh-CN"/>
        </w:rPr>
        <w:t>”</w:t>
      </w:r>
      <w:r>
        <w:rPr>
          <w:rFonts w:hint="eastAsia"/>
        </w:rPr>
        <w:t>时期年均增长4.7%，区域经济总量在贵州省内地级市排位由第六位进位至第五位，年度经济增速攀升至全省第二位，区域经济能级辐射带动能力持续增强；规模以上工业增加值年均增长5.8%，能源类、工矿配套类实体经济底盘稳固，联动车用能源上下游产业链协同发展；人均地区生产总值提升至58558元，城乡居民出行消费、机动化出行刚需持续释放；常住人口城镇化率达53.78%，年均稳步提升0.98个百分点，城镇建成区车流、人流集中集聚，城区及重点乡镇补能设施供需适配优化需求迫切；一般公共预算收入年均增长3.5%；社会消费品零售总额年均增长4.2%，商贸物流、城乡客运、工矿货运全链条用车用能规模稳步扩容。三次产业结构由2020年12.4∶41.2∶46.4优化调整至2025年10.8∶41.3∶47.9，第三产业占比持续抬升，现代物流、绿色交通、便民出行配套服务业蓬勃发展，传统能源产业绿色低碳转型提速，产业布局与综合能源站点位规划建设高度契合。</w:t>
      </w:r>
    </w:p>
    <w:p>
      <w:pPr>
        <w:pStyle w:val="4"/>
        <w:ind w:firstLine="643"/>
      </w:pPr>
      <w:r>
        <w:rPr>
          <w:rFonts w:hint="eastAsia"/>
        </w:rPr>
        <w:t>2.道路交通发展情况</w:t>
      </w:r>
    </w:p>
    <w:p>
      <w:pPr>
        <w:ind w:firstLine="640"/>
      </w:pPr>
      <w:r>
        <w:rPr>
          <w:rFonts w:hint="eastAsia"/>
          <w:lang w:eastAsia="zh-CN"/>
        </w:rPr>
        <w:t>“</w:t>
      </w:r>
      <w:r>
        <w:rPr>
          <w:rFonts w:hint="eastAsia"/>
        </w:rPr>
        <w:t>十四五</w:t>
      </w:r>
      <w:r>
        <w:rPr>
          <w:rFonts w:hint="eastAsia"/>
          <w:lang w:eastAsia="zh-CN"/>
        </w:rPr>
        <w:t>”</w:t>
      </w:r>
      <w:r>
        <w:rPr>
          <w:rFonts w:hint="eastAsia"/>
        </w:rPr>
        <w:t>期间，六盘水市锚定贵州西部综合立体交通枢纽战略定位，持续完善综合交通网络，优化客货运输组织模式，现代化综合交通运输体系加速成型。交通路网通达深度、连通广度持续提升，车流通行频次、客货运周转规模稳步增长，有效带动沿线车用多元补能需求集聚提升。</w:t>
      </w:r>
    </w:p>
    <w:p>
      <w:pPr>
        <w:ind w:firstLine="643"/>
      </w:pPr>
      <w:r>
        <w:rPr>
          <w:rFonts w:hint="eastAsia"/>
          <w:b/>
          <w:bCs/>
        </w:rPr>
        <w:t>航空交通方面，</w:t>
      </w:r>
      <w:r>
        <w:rPr>
          <w:rFonts w:hint="eastAsia"/>
        </w:rPr>
        <w:t>月照机场完成站坪扩建，盘州官山机场有序推进，新开通铜仁、惠州等航线，带动机场周边及沿线公路用油需求。</w:t>
      </w:r>
    </w:p>
    <w:p>
      <w:pPr>
        <w:ind w:firstLine="643"/>
      </w:pPr>
      <w:r>
        <w:rPr>
          <w:rFonts w:hint="eastAsia"/>
          <w:b/>
          <w:bCs/>
        </w:rPr>
        <w:t>高速公路方面，</w:t>
      </w:r>
      <w:r>
        <w:rPr>
          <w:rFonts w:hint="eastAsia"/>
        </w:rPr>
        <w:t>相继建成赫六、六安、纳晴等重点项目，全市高速总里程达548公里，路网密度5.53公里/百平方公里，高于全省平均水平；全市共设有高速公路收费站48个、服务区（含停车区）15对，形成对外通道11个，逐步构建起</w:t>
      </w:r>
      <w:r>
        <w:rPr>
          <w:rFonts w:hint="eastAsia"/>
          <w:lang w:eastAsia="zh-CN"/>
        </w:rPr>
        <w:t>“</w:t>
      </w:r>
      <w:r>
        <w:rPr>
          <w:rFonts w:hint="eastAsia"/>
        </w:rPr>
        <w:t>内畅外联、多点辐射</w:t>
      </w:r>
      <w:r>
        <w:rPr>
          <w:rFonts w:hint="eastAsia"/>
          <w:lang w:eastAsia="zh-CN"/>
        </w:rPr>
        <w:t>”</w:t>
      </w:r>
      <w:r>
        <w:rPr>
          <w:rFonts w:hint="eastAsia"/>
        </w:rPr>
        <w:t>的综合交通格局。在通达效率方面，全市92个乡镇（街道）中已有75个实现30分钟上高速，通达率达到81.5%；时空距离大幅压缩，至毗邻市（州）中心城市可在3小时内到达，区域联动与出行效率显著提高。</w:t>
      </w:r>
    </w:p>
    <w:p>
      <w:pPr>
        <w:ind w:firstLine="643"/>
      </w:pPr>
      <w:r>
        <w:rPr>
          <w:rFonts w:hint="eastAsia"/>
          <w:b/>
          <w:bCs/>
        </w:rPr>
        <w:t>其他道路方面，</w:t>
      </w:r>
      <w:r>
        <w:rPr>
          <w:rFonts w:hint="eastAsia"/>
        </w:rPr>
        <w:t>完成普通国道建设61公里，普通国道达544.1公里（二级及以上占比73.4%）；完成省道改扩建137公里，普通省道达1407.9公里（三级及以上占比67.6%）。打造美丽农村路3990公里，成功创建全国首批</w:t>
      </w:r>
      <w:r>
        <w:rPr>
          <w:rFonts w:hint="eastAsia"/>
          <w:lang w:eastAsia="zh-CN"/>
        </w:rPr>
        <w:t>“</w:t>
      </w:r>
      <w:r>
        <w:rPr>
          <w:rFonts w:hint="eastAsia"/>
        </w:rPr>
        <w:t>四好农村路</w:t>
      </w:r>
      <w:r>
        <w:rPr>
          <w:rFonts w:hint="eastAsia"/>
          <w:lang w:eastAsia="zh-CN"/>
        </w:rPr>
        <w:t>”</w:t>
      </w:r>
      <w:r>
        <w:rPr>
          <w:rFonts w:hint="eastAsia"/>
        </w:rPr>
        <w:t>市域示范突出单位；乡镇通三级及以上公路比例达89%，远超全省平均水平。农村路网通达性、安全性显著提升，农资运输、农产品外运、乡村旅游及村民出行对柴汽油需求持续增长。</w:t>
      </w:r>
    </w:p>
    <w:p>
      <w:pPr>
        <w:ind w:firstLine="643"/>
      </w:pPr>
      <w:r>
        <w:rPr>
          <w:rFonts w:hint="eastAsia"/>
          <w:b/>
          <w:bCs/>
        </w:rPr>
        <w:t>客货运方面，</w:t>
      </w:r>
      <w:r>
        <w:rPr>
          <w:rFonts w:hint="eastAsia"/>
        </w:rPr>
        <w:t>累计开通城市常规公交、城乡公交、定制公交等多层级客运线路，投放合规公交1025辆，铁路客运枢纽、机场公交接驳覆盖率达100%，有序推进传统燃油公交新能源置换。建成标准化二级以上客运站、乡镇客运站及村级招呼站，形成四级联动客运服务体系。创新推行</w:t>
      </w:r>
      <w:r>
        <w:rPr>
          <w:rFonts w:hint="eastAsia"/>
          <w:lang w:eastAsia="zh-CN"/>
        </w:rPr>
        <w:t>“</w:t>
      </w:r>
      <w:r>
        <w:rPr>
          <w:rFonts w:hint="eastAsia"/>
        </w:rPr>
        <w:t>交邮融合+新零售+农产品上行+新能源</w:t>
      </w:r>
      <w:r>
        <w:rPr>
          <w:rFonts w:hint="eastAsia"/>
          <w:lang w:eastAsia="zh-CN"/>
        </w:rPr>
        <w:t>”</w:t>
      </w:r>
      <w:r>
        <w:rPr>
          <w:rFonts w:hint="eastAsia"/>
        </w:rPr>
        <w:t>模式，盘活闲置乡镇客运站赋能快递企业，畅通</w:t>
      </w:r>
      <w:r>
        <w:rPr>
          <w:rFonts w:hint="eastAsia"/>
          <w:lang w:eastAsia="zh-CN"/>
        </w:rPr>
        <w:t>“</w:t>
      </w:r>
      <w:r>
        <w:rPr>
          <w:rFonts w:hint="eastAsia"/>
        </w:rPr>
        <w:t>网购下乡、黔货出山</w:t>
      </w:r>
      <w:r>
        <w:rPr>
          <w:rFonts w:hint="eastAsia"/>
          <w:lang w:eastAsia="zh-CN"/>
        </w:rPr>
        <w:t>”</w:t>
      </w:r>
      <w:r>
        <w:rPr>
          <w:rFonts w:hint="eastAsia"/>
        </w:rPr>
        <w:t>物流通道，持续释放城乡客货运及物流配送领域补能需求。</w:t>
      </w:r>
      <w:r>
        <w:br w:type="page"/>
      </w:r>
    </w:p>
    <w:p>
      <w:pPr>
        <w:pStyle w:val="28"/>
      </w:pPr>
      <w:r>
        <w:rPr>
          <w:rFonts w:hint="eastAsia"/>
        </w:rPr>
        <w:t>2025年六盘水公路里程（按技术等级分） 单位：公里</w:t>
      </w:r>
    </w:p>
    <w:tbl>
      <w:tblPr>
        <w:tblStyle w:val="21"/>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1350"/>
        <w:gridCol w:w="1208"/>
        <w:gridCol w:w="896"/>
        <w:gridCol w:w="1086"/>
        <w:gridCol w:w="896"/>
        <w:gridCol w:w="1143"/>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pct"/>
            <w:vMerge w:val="restart"/>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辖区</w:t>
            </w:r>
          </w:p>
        </w:tc>
        <w:tc>
          <w:tcPr>
            <w:tcW w:w="722" w:type="pct"/>
            <w:vMerge w:val="restart"/>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总计</w:t>
            </w:r>
          </w:p>
        </w:tc>
        <w:tc>
          <w:tcPr>
            <w:tcW w:w="3513" w:type="pct"/>
            <w:gridSpan w:val="6"/>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等级公路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4" w:type="pct"/>
            <w:vMerge w:val="continue"/>
            <w:vAlign w:val="center"/>
          </w:tcPr>
          <w:p>
            <w:pPr>
              <w:widowControl/>
              <w:spacing w:line="440" w:lineRule="exact"/>
              <w:ind w:firstLine="0" w:firstLineChars="0"/>
              <w:jc w:val="left"/>
              <w:rPr>
                <w:rFonts w:cs="Times New Roman"/>
                <w:b/>
                <w:color w:val="000000"/>
                <w:sz w:val="24"/>
                <w:szCs w:val="30"/>
              </w:rPr>
            </w:pPr>
          </w:p>
        </w:tc>
        <w:tc>
          <w:tcPr>
            <w:tcW w:w="722" w:type="pct"/>
            <w:vMerge w:val="continue"/>
            <w:vAlign w:val="center"/>
          </w:tcPr>
          <w:p>
            <w:pPr>
              <w:widowControl/>
              <w:spacing w:line="440" w:lineRule="exact"/>
              <w:ind w:firstLine="0" w:firstLineChars="0"/>
              <w:jc w:val="left"/>
              <w:rPr>
                <w:rFonts w:cs="Times New Roman"/>
                <w:b/>
                <w:color w:val="000000"/>
                <w:sz w:val="24"/>
                <w:szCs w:val="30"/>
              </w:rPr>
            </w:pPr>
          </w:p>
        </w:tc>
        <w:tc>
          <w:tcPr>
            <w:tcW w:w="646" w:type="pct"/>
            <w:vMerge w:val="restart"/>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高速公路</w:t>
            </w:r>
          </w:p>
        </w:tc>
        <w:tc>
          <w:tcPr>
            <w:tcW w:w="479" w:type="pct"/>
            <w:vMerge w:val="restart"/>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一级</w:t>
            </w:r>
          </w:p>
        </w:tc>
        <w:tc>
          <w:tcPr>
            <w:tcW w:w="581" w:type="pct"/>
            <w:vMerge w:val="restart"/>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二级</w:t>
            </w:r>
          </w:p>
        </w:tc>
        <w:tc>
          <w:tcPr>
            <w:tcW w:w="479" w:type="pct"/>
            <w:vMerge w:val="restart"/>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三级</w:t>
            </w:r>
          </w:p>
        </w:tc>
        <w:tc>
          <w:tcPr>
            <w:tcW w:w="611" w:type="pct"/>
            <w:vMerge w:val="restart"/>
            <w:noWrap/>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四级</w:t>
            </w:r>
          </w:p>
        </w:tc>
        <w:tc>
          <w:tcPr>
            <w:tcW w:w="714" w:type="pct"/>
            <w:vMerge w:val="restart"/>
            <w:vAlign w:val="center"/>
          </w:tcPr>
          <w:p>
            <w:pPr>
              <w:widowControl/>
              <w:snapToGrid w:val="0"/>
              <w:spacing w:line="440" w:lineRule="exact"/>
              <w:ind w:firstLine="0" w:firstLineChars="0"/>
              <w:jc w:val="center"/>
              <w:textAlignment w:val="center"/>
              <w:rPr>
                <w:rFonts w:cs="Times New Roman"/>
                <w:b/>
                <w:color w:val="000000"/>
                <w:sz w:val="24"/>
                <w:szCs w:val="30"/>
              </w:rPr>
            </w:pPr>
            <w:r>
              <w:rPr>
                <w:rFonts w:hint="eastAsia" w:cs="Times New Roman"/>
                <w:b/>
                <w:color w:val="000000"/>
                <w:kern w:val="0"/>
                <w:sz w:val="24"/>
                <w:szCs w:val="30"/>
              </w:rPr>
              <w:t>等外公路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4" w:type="pct"/>
            <w:vMerge w:val="continue"/>
            <w:vAlign w:val="center"/>
          </w:tcPr>
          <w:p>
            <w:pPr>
              <w:widowControl/>
              <w:spacing w:line="440" w:lineRule="exact"/>
              <w:ind w:firstLine="0" w:firstLineChars="0"/>
              <w:jc w:val="left"/>
              <w:rPr>
                <w:rFonts w:cs="Times New Roman"/>
                <w:b/>
                <w:color w:val="000000"/>
                <w:sz w:val="24"/>
                <w:szCs w:val="30"/>
              </w:rPr>
            </w:pPr>
          </w:p>
        </w:tc>
        <w:tc>
          <w:tcPr>
            <w:tcW w:w="722" w:type="pct"/>
            <w:vMerge w:val="continue"/>
            <w:vAlign w:val="center"/>
          </w:tcPr>
          <w:p>
            <w:pPr>
              <w:widowControl/>
              <w:spacing w:line="440" w:lineRule="exact"/>
              <w:ind w:firstLine="0" w:firstLineChars="0"/>
              <w:jc w:val="left"/>
              <w:rPr>
                <w:rFonts w:cs="Times New Roman"/>
                <w:b/>
                <w:color w:val="000000"/>
                <w:sz w:val="24"/>
                <w:szCs w:val="30"/>
              </w:rPr>
            </w:pPr>
          </w:p>
        </w:tc>
        <w:tc>
          <w:tcPr>
            <w:tcW w:w="646" w:type="pct"/>
            <w:vMerge w:val="continue"/>
            <w:vAlign w:val="center"/>
          </w:tcPr>
          <w:p>
            <w:pPr>
              <w:widowControl/>
              <w:spacing w:line="440" w:lineRule="exact"/>
              <w:ind w:firstLine="0" w:firstLineChars="0"/>
              <w:jc w:val="left"/>
              <w:rPr>
                <w:rFonts w:cs="Times New Roman"/>
                <w:b/>
                <w:color w:val="000000"/>
                <w:sz w:val="24"/>
                <w:szCs w:val="30"/>
              </w:rPr>
            </w:pPr>
          </w:p>
        </w:tc>
        <w:tc>
          <w:tcPr>
            <w:tcW w:w="479" w:type="pct"/>
            <w:vMerge w:val="continue"/>
            <w:vAlign w:val="center"/>
          </w:tcPr>
          <w:p>
            <w:pPr>
              <w:widowControl/>
              <w:spacing w:line="440" w:lineRule="exact"/>
              <w:ind w:firstLine="0" w:firstLineChars="0"/>
              <w:jc w:val="left"/>
              <w:rPr>
                <w:rFonts w:cs="Times New Roman"/>
                <w:b/>
                <w:color w:val="000000"/>
                <w:sz w:val="24"/>
                <w:szCs w:val="30"/>
              </w:rPr>
            </w:pPr>
          </w:p>
        </w:tc>
        <w:tc>
          <w:tcPr>
            <w:tcW w:w="581" w:type="pct"/>
            <w:vMerge w:val="continue"/>
            <w:vAlign w:val="center"/>
          </w:tcPr>
          <w:p>
            <w:pPr>
              <w:widowControl/>
              <w:spacing w:line="440" w:lineRule="exact"/>
              <w:ind w:firstLine="0" w:firstLineChars="0"/>
              <w:jc w:val="left"/>
              <w:rPr>
                <w:rFonts w:cs="Times New Roman"/>
                <w:b/>
                <w:color w:val="000000"/>
                <w:sz w:val="24"/>
                <w:szCs w:val="30"/>
              </w:rPr>
            </w:pPr>
          </w:p>
        </w:tc>
        <w:tc>
          <w:tcPr>
            <w:tcW w:w="479" w:type="pct"/>
            <w:vMerge w:val="continue"/>
            <w:vAlign w:val="center"/>
          </w:tcPr>
          <w:p>
            <w:pPr>
              <w:widowControl/>
              <w:spacing w:line="440" w:lineRule="exact"/>
              <w:ind w:firstLine="0" w:firstLineChars="0"/>
              <w:jc w:val="left"/>
              <w:rPr>
                <w:rFonts w:cs="Times New Roman"/>
                <w:b/>
                <w:color w:val="000000"/>
                <w:sz w:val="24"/>
                <w:szCs w:val="30"/>
              </w:rPr>
            </w:pPr>
          </w:p>
        </w:tc>
        <w:tc>
          <w:tcPr>
            <w:tcW w:w="611" w:type="pct"/>
            <w:vMerge w:val="continue"/>
            <w:vAlign w:val="center"/>
          </w:tcPr>
          <w:p>
            <w:pPr>
              <w:widowControl/>
              <w:spacing w:line="440" w:lineRule="exact"/>
              <w:ind w:firstLine="0" w:firstLineChars="0"/>
              <w:jc w:val="left"/>
              <w:rPr>
                <w:rFonts w:cs="Times New Roman"/>
                <w:b/>
                <w:color w:val="000000"/>
                <w:sz w:val="24"/>
                <w:szCs w:val="30"/>
              </w:rPr>
            </w:pPr>
          </w:p>
        </w:tc>
        <w:tc>
          <w:tcPr>
            <w:tcW w:w="714" w:type="pct"/>
            <w:vMerge w:val="continue"/>
            <w:vAlign w:val="center"/>
          </w:tcPr>
          <w:p>
            <w:pPr>
              <w:widowControl/>
              <w:spacing w:line="440" w:lineRule="exact"/>
              <w:ind w:firstLine="0" w:firstLineChars="0"/>
              <w:jc w:val="left"/>
              <w:rPr>
                <w:rFonts w:cs="Times New Roman"/>
                <w:b/>
                <w:color w:val="000000"/>
                <w:sz w:val="24"/>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六盘水市</w:t>
            </w:r>
          </w:p>
        </w:tc>
        <w:tc>
          <w:tcPr>
            <w:tcW w:w="722"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16283.09</w:t>
            </w:r>
          </w:p>
        </w:tc>
        <w:tc>
          <w:tcPr>
            <w:tcW w:w="646"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548.00</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148.15</w:t>
            </w:r>
          </w:p>
        </w:tc>
        <w:tc>
          <w:tcPr>
            <w:tcW w:w="58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1075.27</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544.56</w:t>
            </w:r>
          </w:p>
        </w:tc>
        <w:tc>
          <w:tcPr>
            <w:tcW w:w="61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13774.06</w:t>
            </w:r>
          </w:p>
        </w:tc>
        <w:tc>
          <w:tcPr>
            <w:tcW w:w="71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193.06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六枝特区</w:t>
            </w:r>
          </w:p>
        </w:tc>
        <w:tc>
          <w:tcPr>
            <w:tcW w:w="722"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3065.75</w:t>
            </w:r>
          </w:p>
        </w:tc>
        <w:tc>
          <w:tcPr>
            <w:tcW w:w="646"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124.00</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25.48</w:t>
            </w:r>
          </w:p>
        </w:tc>
        <w:tc>
          <w:tcPr>
            <w:tcW w:w="58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184.29</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133.34</w:t>
            </w:r>
          </w:p>
        </w:tc>
        <w:tc>
          <w:tcPr>
            <w:tcW w:w="61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2536.74</w:t>
            </w:r>
          </w:p>
        </w:tc>
        <w:tc>
          <w:tcPr>
            <w:tcW w:w="71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61.91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盘州市</w:t>
            </w:r>
          </w:p>
        </w:tc>
        <w:tc>
          <w:tcPr>
            <w:tcW w:w="722"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7400.72</w:t>
            </w:r>
          </w:p>
        </w:tc>
        <w:tc>
          <w:tcPr>
            <w:tcW w:w="646"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173.00</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56.24</w:t>
            </w:r>
          </w:p>
        </w:tc>
        <w:tc>
          <w:tcPr>
            <w:tcW w:w="58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501.85</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183.70</w:t>
            </w:r>
          </w:p>
        </w:tc>
        <w:tc>
          <w:tcPr>
            <w:tcW w:w="61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6364.32</w:t>
            </w:r>
          </w:p>
        </w:tc>
        <w:tc>
          <w:tcPr>
            <w:tcW w:w="71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121.61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水城区</w:t>
            </w:r>
          </w:p>
        </w:tc>
        <w:tc>
          <w:tcPr>
            <w:tcW w:w="722"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4296.61</w:t>
            </w:r>
          </w:p>
        </w:tc>
        <w:tc>
          <w:tcPr>
            <w:tcW w:w="646"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159.70</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29.77</w:t>
            </w:r>
          </w:p>
        </w:tc>
        <w:tc>
          <w:tcPr>
            <w:tcW w:w="58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302.66</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118.76</w:t>
            </w:r>
          </w:p>
        </w:tc>
        <w:tc>
          <w:tcPr>
            <w:tcW w:w="61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3676.18</w:t>
            </w:r>
          </w:p>
        </w:tc>
        <w:tc>
          <w:tcPr>
            <w:tcW w:w="71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钟山区</w:t>
            </w:r>
          </w:p>
        </w:tc>
        <w:tc>
          <w:tcPr>
            <w:tcW w:w="722"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1520.01</w:t>
            </w:r>
          </w:p>
        </w:tc>
        <w:tc>
          <w:tcPr>
            <w:tcW w:w="646"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91.30</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36.66</w:t>
            </w:r>
          </w:p>
        </w:tc>
        <w:tc>
          <w:tcPr>
            <w:tcW w:w="58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86.47</w:t>
            </w:r>
          </w:p>
        </w:tc>
        <w:tc>
          <w:tcPr>
            <w:tcW w:w="479"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108.75</w:t>
            </w:r>
          </w:p>
        </w:tc>
        <w:tc>
          <w:tcPr>
            <w:tcW w:w="611"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1196.82</w:t>
            </w:r>
          </w:p>
        </w:tc>
        <w:tc>
          <w:tcPr>
            <w:tcW w:w="714" w:type="pct"/>
            <w:noWrap/>
            <w:vAlign w:val="center"/>
          </w:tcPr>
          <w:p>
            <w:pPr>
              <w:widowControl/>
              <w:spacing w:line="440" w:lineRule="exact"/>
              <w:ind w:firstLine="0" w:firstLineChars="0"/>
              <w:jc w:val="center"/>
              <w:textAlignment w:val="center"/>
              <w:rPr>
                <w:rFonts w:cs="Times New Roman"/>
                <w:color w:val="000000"/>
                <w:kern w:val="0"/>
                <w:sz w:val="24"/>
                <w:szCs w:val="30"/>
              </w:rPr>
            </w:pPr>
            <w:r>
              <w:rPr>
                <w:rFonts w:hint="eastAsia" w:cs="Times New Roman"/>
                <w:color w:val="000000"/>
                <w:kern w:val="0"/>
                <w:sz w:val="24"/>
                <w:szCs w:val="30"/>
              </w:rPr>
              <w:t>0.00</w:t>
            </w:r>
          </w:p>
        </w:tc>
      </w:tr>
    </w:tbl>
    <w:p>
      <w:pPr>
        <w:ind w:firstLine="560"/>
        <w:rPr>
          <w:szCs w:val="21"/>
        </w:rPr>
      </w:pPr>
      <w:r>
        <w:rPr>
          <w:rFonts w:hint="eastAsia"/>
          <w:sz w:val="28"/>
          <w:szCs w:val="21"/>
        </w:rPr>
        <w:t>数据来源：六盘水市交通运输局</w:t>
      </w:r>
    </w:p>
    <w:p>
      <w:pPr>
        <w:pStyle w:val="28"/>
      </w:pPr>
      <w:r>
        <w:rPr>
          <w:rFonts w:hint="eastAsia"/>
        </w:rPr>
        <w:t>2025年六盘水公路里程（按行政等级分）单位：公里</w:t>
      </w:r>
    </w:p>
    <w:tbl>
      <w:tblPr>
        <w:tblStyle w:val="21"/>
        <w:tblW w:w="9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40"/>
        <w:gridCol w:w="1010"/>
        <w:gridCol w:w="1031"/>
        <w:gridCol w:w="1049"/>
        <w:gridCol w:w="1060"/>
        <w:gridCol w:w="1030"/>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1186" w:type="dxa"/>
            <w:vMerge w:val="restart"/>
            <w:noWrap/>
            <w:vAlign w:val="center"/>
          </w:tcPr>
          <w:p>
            <w:pPr>
              <w:widowControl/>
              <w:snapToGrid w:val="0"/>
              <w:spacing w:line="440" w:lineRule="exact"/>
              <w:ind w:firstLine="0" w:firstLineChars="0"/>
              <w:jc w:val="center"/>
              <w:textAlignment w:val="center"/>
              <w:rPr>
                <w:rFonts w:cs="Times New Roman"/>
                <w:b/>
                <w:bCs/>
                <w:color w:val="000000"/>
                <w:sz w:val="24"/>
                <w:szCs w:val="30"/>
              </w:rPr>
            </w:pPr>
            <w:r>
              <w:rPr>
                <w:rFonts w:hint="eastAsia" w:cs="Times New Roman"/>
                <w:b/>
                <w:bCs/>
                <w:color w:val="000000"/>
                <w:kern w:val="0"/>
                <w:sz w:val="24"/>
                <w:szCs w:val="30"/>
              </w:rPr>
              <w:t>辖区</w:t>
            </w:r>
          </w:p>
        </w:tc>
        <w:tc>
          <w:tcPr>
            <w:tcW w:w="1140" w:type="dxa"/>
            <w:vMerge w:val="restart"/>
            <w:noWrap/>
            <w:vAlign w:val="center"/>
          </w:tcPr>
          <w:p>
            <w:pPr>
              <w:widowControl/>
              <w:snapToGrid w:val="0"/>
              <w:spacing w:line="440" w:lineRule="exact"/>
              <w:ind w:firstLine="0" w:firstLineChars="0"/>
              <w:jc w:val="center"/>
              <w:textAlignment w:val="center"/>
              <w:rPr>
                <w:rFonts w:cs="Times New Roman"/>
                <w:b/>
                <w:bCs/>
                <w:color w:val="000000"/>
                <w:sz w:val="24"/>
                <w:szCs w:val="30"/>
              </w:rPr>
            </w:pPr>
            <w:r>
              <w:rPr>
                <w:rFonts w:hint="eastAsia" w:cs="Times New Roman"/>
                <w:b/>
                <w:bCs/>
                <w:color w:val="000000"/>
                <w:kern w:val="0"/>
                <w:sz w:val="24"/>
                <w:szCs w:val="30"/>
              </w:rPr>
              <w:t>总计</w:t>
            </w:r>
          </w:p>
        </w:tc>
        <w:tc>
          <w:tcPr>
            <w:tcW w:w="1010" w:type="dxa"/>
            <w:vMerge w:val="restart"/>
            <w:noWrap/>
            <w:vAlign w:val="center"/>
          </w:tcPr>
          <w:p>
            <w:pPr>
              <w:widowControl/>
              <w:snapToGrid w:val="0"/>
              <w:spacing w:line="440" w:lineRule="exact"/>
              <w:ind w:firstLine="0" w:firstLineChars="0"/>
              <w:jc w:val="center"/>
              <w:textAlignment w:val="center"/>
              <w:rPr>
                <w:rFonts w:cs="Times New Roman"/>
                <w:b/>
                <w:bCs/>
                <w:color w:val="000000"/>
                <w:kern w:val="0"/>
                <w:sz w:val="24"/>
                <w:szCs w:val="30"/>
              </w:rPr>
            </w:pPr>
            <w:r>
              <w:rPr>
                <w:rFonts w:hint="eastAsia" w:cs="Times New Roman"/>
                <w:b/>
                <w:bCs/>
                <w:color w:val="000000"/>
                <w:kern w:val="0"/>
                <w:sz w:val="24"/>
                <w:szCs w:val="30"/>
              </w:rPr>
              <w:t>国道</w:t>
            </w:r>
          </w:p>
          <w:p>
            <w:pPr>
              <w:widowControl/>
              <w:snapToGrid w:val="0"/>
              <w:spacing w:line="440" w:lineRule="exact"/>
              <w:ind w:firstLine="0" w:firstLineChars="0"/>
              <w:jc w:val="center"/>
              <w:textAlignment w:val="center"/>
              <w:rPr>
                <w:rFonts w:cs="Times New Roman"/>
                <w:b/>
                <w:bCs/>
                <w:color w:val="000000"/>
                <w:sz w:val="24"/>
                <w:szCs w:val="30"/>
              </w:rPr>
            </w:pPr>
            <w:r>
              <w:rPr>
                <w:rFonts w:hint="eastAsia" w:cs="Times New Roman"/>
                <w:b/>
                <w:bCs/>
                <w:color w:val="000000"/>
                <w:kern w:val="0"/>
                <w:sz w:val="24"/>
                <w:szCs w:val="30"/>
              </w:rPr>
              <w:t>(包含国高）</w:t>
            </w:r>
          </w:p>
        </w:tc>
        <w:tc>
          <w:tcPr>
            <w:tcW w:w="1031" w:type="dxa"/>
            <w:vMerge w:val="restart"/>
            <w:noWrap/>
            <w:vAlign w:val="center"/>
          </w:tcPr>
          <w:p>
            <w:pPr>
              <w:widowControl/>
              <w:snapToGrid w:val="0"/>
              <w:spacing w:line="440" w:lineRule="exact"/>
              <w:ind w:firstLine="0" w:firstLineChars="0"/>
              <w:jc w:val="center"/>
              <w:textAlignment w:val="center"/>
              <w:rPr>
                <w:rFonts w:cs="Times New Roman"/>
                <w:b/>
                <w:bCs/>
                <w:color w:val="000000"/>
                <w:kern w:val="0"/>
                <w:sz w:val="24"/>
                <w:szCs w:val="30"/>
              </w:rPr>
            </w:pPr>
            <w:r>
              <w:rPr>
                <w:rFonts w:hint="eastAsia" w:cs="Times New Roman"/>
                <w:b/>
                <w:bCs/>
                <w:color w:val="000000"/>
                <w:kern w:val="0"/>
                <w:sz w:val="24"/>
                <w:szCs w:val="30"/>
              </w:rPr>
              <w:t>省道</w:t>
            </w:r>
          </w:p>
          <w:p>
            <w:pPr>
              <w:widowControl/>
              <w:snapToGrid w:val="0"/>
              <w:spacing w:line="440" w:lineRule="exact"/>
              <w:ind w:firstLine="0" w:firstLineChars="0"/>
              <w:jc w:val="center"/>
              <w:textAlignment w:val="center"/>
              <w:rPr>
                <w:rFonts w:cs="Times New Roman"/>
                <w:b/>
                <w:bCs/>
                <w:color w:val="000000"/>
                <w:sz w:val="24"/>
                <w:szCs w:val="30"/>
              </w:rPr>
            </w:pPr>
            <w:r>
              <w:rPr>
                <w:rFonts w:hint="eastAsia" w:cs="Times New Roman"/>
                <w:b/>
                <w:bCs/>
                <w:color w:val="000000"/>
                <w:kern w:val="0"/>
                <w:sz w:val="24"/>
                <w:szCs w:val="30"/>
              </w:rPr>
              <w:t>（包含省高）</w:t>
            </w:r>
          </w:p>
        </w:tc>
        <w:tc>
          <w:tcPr>
            <w:tcW w:w="1049" w:type="dxa"/>
            <w:vMerge w:val="restart"/>
            <w:noWrap/>
            <w:vAlign w:val="center"/>
          </w:tcPr>
          <w:p>
            <w:pPr>
              <w:widowControl/>
              <w:snapToGrid w:val="0"/>
              <w:spacing w:line="440" w:lineRule="exact"/>
              <w:ind w:firstLine="0" w:firstLineChars="0"/>
              <w:jc w:val="center"/>
              <w:textAlignment w:val="center"/>
              <w:rPr>
                <w:rFonts w:cs="Times New Roman"/>
                <w:b/>
                <w:bCs/>
                <w:color w:val="000000"/>
                <w:sz w:val="24"/>
                <w:szCs w:val="30"/>
              </w:rPr>
            </w:pPr>
            <w:r>
              <w:rPr>
                <w:rFonts w:hint="eastAsia" w:cs="Times New Roman"/>
                <w:b/>
                <w:bCs/>
                <w:color w:val="000000"/>
                <w:kern w:val="0"/>
                <w:sz w:val="24"/>
                <w:szCs w:val="30"/>
              </w:rPr>
              <w:t>县道</w:t>
            </w:r>
          </w:p>
        </w:tc>
        <w:tc>
          <w:tcPr>
            <w:tcW w:w="1060" w:type="dxa"/>
            <w:vMerge w:val="restart"/>
            <w:noWrap/>
            <w:vAlign w:val="center"/>
          </w:tcPr>
          <w:p>
            <w:pPr>
              <w:widowControl/>
              <w:snapToGrid w:val="0"/>
              <w:spacing w:line="440" w:lineRule="exact"/>
              <w:ind w:firstLine="0" w:firstLineChars="0"/>
              <w:jc w:val="center"/>
              <w:textAlignment w:val="center"/>
              <w:rPr>
                <w:rFonts w:cs="Times New Roman"/>
                <w:b/>
                <w:bCs/>
                <w:color w:val="000000"/>
                <w:sz w:val="24"/>
                <w:szCs w:val="30"/>
              </w:rPr>
            </w:pPr>
            <w:r>
              <w:rPr>
                <w:rFonts w:hint="eastAsia" w:cs="Times New Roman"/>
                <w:b/>
                <w:bCs/>
                <w:color w:val="000000"/>
                <w:kern w:val="0"/>
                <w:sz w:val="24"/>
                <w:szCs w:val="30"/>
              </w:rPr>
              <w:t>乡道</w:t>
            </w:r>
          </w:p>
        </w:tc>
        <w:tc>
          <w:tcPr>
            <w:tcW w:w="1030" w:type="dxa"/>
            <w:vMerge w:val="restart"/>
            <w:noWrap/>
            <w:vAlign w:val="center"/>
          </w:tcPr>
          <w:p>
            <w:pPr>
              <w:widowControl/>
              <w:snapToGrid w:val="0"/>
              <w:spacing w:line="440" w:lineRule="exact"/>
              <w:ind w:firstLine="0" w:firstLineChars="0"/>
              <w:jc w:val="center"/>
              <w:textAlignment w:val="center"/>
              <w:rPr>
                <w:rFonts w:cs="Times New Roman"/>
                <w:b/>
                <w:bCs/>
                <w:color w:val="000000"/>
                <w:sz w:val="24"/>
                <w:szCs w:val="30"/>
              </w:rPr>
            </w:pPr>
            <w:r>
              <w:rPr>
                <w:rFonts w:hint="eastAsia" w:cs="Times New Roman"/>
                <w:b/>
                <w:bCs/>
                <w:color w:val="000000"/>
                <w:kern w:val="0"/>
                <w:sz w:val="24"/>
                <w:szCs w:val="30"/>
              </w:rPr>
              <w:t>村道</w:t>
            </w:r>
          </w:p>
        </w:tc>
        <w:tc>
          <w:tcPr>
            <w:tcW w:w="1647" w:type="dxa"/>
            <w:vMerge w:val="restart"/>
            <w:noWrap/>
            <w:vAlign w:val="center"/>
          </w:tcPr>
          <w:p>
            <w:pPr>
              <w:widowControl/>
              <w:snapToGrid w:val="0"/>
              <w:spacing w:line="440" w:lineRule="exact"/>
              <w:ind w:firstLine="0" w:firstLineChars="0"/>
              <w:jc w:val="center"/>
              <w:textAlignment w:val="center"/>
              <w:rPr>
                <w:rFonts w:cs="Times New Roman"/>
                <w:b/>
                <w:bCs/>
                <w:color w:val="000000"/>
                <w:kern w:val="0"/>
                <w:sz w:val="24"/>
                <w:szCs w:val="30"/>
              </w:rPr>
            </w:pPr>
            <w:r>
              <w:rPr>
                <w:rFonts w:hint="eastAsia" w:cs="Times New Roman"/>
                <w:b/>
                <w:bCs/>
                <w:color w:val="000000"/>
                <w:kern w:val="0"/>
                <w:sz w:val="24"/>
                <w:szCs w:val="30"/>
              </w:rPr>
              <w:t>专用公路</w:t>
            </w:r>
          </w:p>
          <w:p>
            <w:pPr>
              <w:widowControl/>
              <w:snapToGrid w:val="0"/>
              <w:spacing w:line="440" w:lineRule="exact"/>
              <w:ind w:firstLine="0" w:firstLineChars="0"/>
              <w:textAlignment w:val="center"/>
              <w:rPr>
                <w:rFonts w:cs="Times New Roman"/>
                <w:b/>
                <w:bCs/>
                <w:color w:val="000000"/>
                <w:sz w:val="24"/>
                <w:szCs w:val="30"/>
              </w:rPr>
            </w:pPr>
            <w:r>
              <w:rPr>
                <w:rFonts w:hint="eastAsia" w:cs="Times New Roman"/>
                <w:b/>
                <w:bCs/>
                <w:color w:val="000000"/>
                <w:kern w:val="0"/>
                <w:sz w:val="24"/>
                <w:szCs w:val="30"/>
              </w:rPr>
              <w:t>（机场高速）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1186" w:type="dxa"/>
            <w:vMerge w:val="continue"/>
            <w:vAlign w:val="center"/>
          </w:tcPr>
          <w:p>
            <w:pPr>
              <w:widowControl/>
              <w:snapToGrid w:val="0"/>
              <w:spacing w:line="440" w:lineRule="exact"/>
              <w:ind w:firstLine="0" w:firstLineChars="0"/>
              <w:jc w:val="center"/>
              <w:rPr>
                <w:rFonts w:cs="Times New Roman"/>
                <w:b/>
                <w:bCs/>
                <w:color w:val="000000"/>
                <w:sz w:val="24"/>
                <w:szCs w:val="30"/>
              </w:rPr>
            </w:pPr>
          </w:p>
        </w:tc>
        <w:tc>
          <w:tcPr>
            <w:tcW w:w="1140" w:type="dxa"/>
            <w:vMerge w:val="continue"/>
            <w:vAlign w:val="center"/>
          </w:tcPr>
          <w:p>
            <w:pPr>
              <w:widowControl/>
              <w:snapToGrid w:val="0"/>
              <w:spacing w:line="440" w:lineRule="exact"/>
              <w:ind w:firstLine="0" w:firstLineChars="0"/>
              <w:jc w:val="center"/>
              <w:rPr>
                <w:rFonts w:cs="Times New Roman"/>
                <w:b/>
                <w:bCs/>
                <w:color w:val="000000"/>
                <w:sz w:val="24"/>
                <w:szCs w:val="30"/>
              </w:rPr>
            </w:pPr>
          </w:p>
        </w:tc>
        <w:tc>
          <w:tcPr>
            <w:tcW w:w="1010" w:type="dxa"/>
            <w:vMerge w:val="continue"/>
            <w:vAlign w:val="center"/>
          </w:tcPr>
          <w:p>
            <w:pPr>
              <w:widowControl/>
              <w:snapToGrid w:val="0"/>
              <w:spacing w:line="440" w:lineRule="exact"/>
              <w:ind w:firstLine="0" w:firstLineChars="0"/>
              <w:jc w:val="center"/>
              <w:rPr>
                <w:rFonts w:cs="Times New Roman"/>
                <w:b/>
                <w:bCs/>
                <w:color w:val="000000"/>
                <w:sz w:val="24"/>
                <w:szCs w:val="30"/>
              </w:rPr>
            </w:pPr>
          </w:p>
        </w:tc>
        <w:tc>
          <w:tcPr>
            <w:tcW w:w="1031" w:type="dxa"/>
            <w:vMerge w:val="continue"/>
            <w:vAlign w:val="center"/>
          </w:tcPr>
          <w:p>
            <w:pPr>
              <w:widowControl/>
              <w:snapToGrid w:val="0"/>
              <w:spacing w:line="440" w:lineRule="exact"/>
              <w:ind w:firstLine="0" w:firstLineChars="0"/>
              <w:jc w:val="center"/>
              <w:rPr>
                <w:rFonts w:cs="Times New Roman"/>
                <w:b/>
                <w:bCs/>
                <w:color w:val="000000"/>
                <w:sz w:val="24"/>
                <w:szCs w:val="30"/>
              </w:rPr>
            </w:pPr>
          </w:p>
        </w:tc>
        <w:tc>
          <w:tcPr>
            <w:tcW w:w="1049" w:type="dxa"/>
            <w:vMerge w:val="continue"/>
            <w:vAlign w:val="center"/>
          </w:tcPr>
          <w:p>
            <w:pPr>
              <w:widowControl/>
              <w:snapToGrid w:val="0"/>
              <w:spacing w:line="440" w:lineRule="exact"/>
              <w:ind w:firstLine="0" w:firstLineChars="0"/>
              <w:jc w:val="center"/>
              <w:rPr>
                <w:rFonts w:cs="Times New Roman"/>
                <w:b/>
                <w:bCs/>
                <w:color w:val="000000"/>
                <w:sz w:val="24"/>
                <w:szCs w:val="30"/>
              </w:rPr>
            </w:pPr>
          </w:p>
        </w:tc>
        <w:tc>
          <w:tcPr>
            <w:tcW w:w="1060" w:type="dxa"/>
            <w:vMerge w:val="continue"/>
            <w:vAlign w:val="center"/>
          </w:tcPr>
          <w:p>
            <w:pPr>
              <w:widowControl/>
              <w:snapToGrid w:val="0"/>
              <w:spacing w:line="440" w:lineRule="exact"/>
              <w:ind w:firstLine="0" w:firstLineChars="0"/>
              <w:jc w:val="center"/>
              <w:rPr>
                <w:rFonts w:cs="Times New Roman"/>
                <w:b/>
                <w:bCs/>
                <w:color w:val="000000"/>
                <w:sz w:val="24"/>
                <w:szCs w:val="30"/>
              </w:rPr>
            </w:pPr>
          </w:p>
        </w:tc>
        <w:tc>
          <w:tcPr>
            <w:tcW w:w="1030" w:type="dxa"/>
            <w:vMerge w:val="continue"/>
            <w:vAlign w:val="center"/>
          </w:tcPr>
          <w:p>
            <w:pPr>
              <w:widowControl/>
              <w:snapToGrid w:val="0"/>
              <w:spacing w:line="440" w:lineRule="exact"/>
              <w:ind w:firstLine="0" w:firstLineChars="0"/>
              <w:jc w:val="center"/>
              <w:rPr>
                <w:rFonts w:cs="Times New Roman"/>
                <w:b/>
                <w:bCs/>
                <w:color w:val="000000"/>
                <w:sz w:val="24"/>
                <w:szCs w:val="30"/>
              </w:rPr>
            </w:pPr>
          </w:p>
        </w:tc>
        <w:tc>
          <w:tcPr>
            <w:tcW w:w="1647" w:type="dxa"/>
            <w:vMerge w:val="continue"/>
            <w:vAlign w:val="center"/>
          </w:tcPr>
          <w:p>
            <w:pPr>
              <w:widowControl/>
              <w:snapToGrid w:val="0"/>
              <w:spacing w:line="440" w:lineRule="exact"/>
              <w:ind w:firstLine="0" w:firstLineChars="0"/>
              <w:jc w:val="center"/>
              <w:rPr>
                <w:rFonts w:cs="Times New Roman"/>
                <w:b/>
                <w:bCs/>
                <w:color w:val="000000"/>
                <w:sz w:val="24"/>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6"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六盘水市</w:t>
            </w:r>
          </w:p>
        </w:tc>
        <w:tc>
          <w:tcPr>
            <w:tcW w:w="114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16283.09</w:t>
            </w:r>
          </w:p>
        </w:tc>
        <w:tc>
          <w:tcPr>
            <w:tcW w:w="101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881.07</w:t>
            </w:r>
          </w:p>
        </w:tc>
        <w:tc>
          <w:tcPr>
            <w:tcW w:w="1031"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1607.93</w:t>
            </w:r>
          </w:p>
        </w:tc>
        <w:tc>
          <w:tcPr>
            <w:tcW w:w="1049"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2820.48</w:t>
            </w:r>
          </w:p>
        </w:tc>
        <w:tc>
          <w:tcPr>
            <w:tcW w:w="106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3821.28</w:t>
            </w:r>
          </w:p>
        </w:tc>
        <w:tc>
          <w:tcPr>
            <w:tcW w:w="103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7141.32</w:t>
            </w:r>
          </w:p>
        </w:tc>
        <w:tc>
          <w:tcPr>
            <w:tcW w:w="1647"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6"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六枝特区</w:t>
            </w:r>
          </w:p>
        </w:tc>
        <w:tc>
          <w:tcPr>
            <w:tcW w:w="114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3065.75</w:t>
            </w:r>
          </w:p>
        </w:tc>
        <w:tc>
          <w:tcPr>
            <w:tcW w:w="101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163.76</w:t>
            </w:r>
          </w:p>
        </w:tc>
        <w:tc>
          <w:tcPr>
            <w:tcW w:w="1031"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336.22</w:t>
            </w:r>
          </w:p>
        </w:tc>
        <w:tc>
          <w:tcPr>
            <w:tcW w:w="1049"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515.49</w:t>
            </w:r>
          </w:p>
        </w:tc>
        <w:tc>
          <w:tcPr>
            <w:tcW w:w="106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683.95</w:t>
            </w:r>
          </w:p>
        </w:tc>
        <w:tc>
          <w:tcPr>
            <w:tcW w:w="103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1366.33</w:t>
            </w:r>
          </w:p>
        </w:tc>
        <w:tc>
          <w:tcPr>
            <w:tcW w:w="1647" w:type="dxa"/>
            <w:noWrap/>
            <w:vAlign w:val="center"/>
          </w:tcPr>
          <w:p>
            <w:pPr>
              <w:snapToGrid w:val="0"/>
              <w:spacing w:line="440" w:lineRule="exact"/>
              <w:ind w:firstLine="0" w:firstLineChars="0"/>
              <w:jc w:val="center"/>
              <w:rPr>
                <w:rFonts w:cs="Times New Roman"/>
                <w:color w:val="000000"/>
                <w:sz w:val="24"/>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6"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盘州市</w:t>
            </w:r>
          </w:p>
        </w:tc>
        <w:tc>
          <w:tcPr>
            <w:tcW w:w="114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7400.72</w:t>
            </w:r>
          </w:p>
        </w:tc>
        <w:tc>
          <w:tcPr>
            <w:tcW w:w="101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304.41</w:t>
            </w:r>
          </w:p>
        </w:tc>
        <w:tc>
          <w:tcPr>
            <w:tcW w:w="1031"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627.82</w:t>
            </w:r>
          </w:p>
        </w:tc>
        <w:tc>
          <w:tcPr>
            <w:tcW w:w="1049"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1285.30</w:t>
            </w:r>
          </w:p>
        </w:tc>
        <w:tc>
          <w:tcPr>
            <w:tcW w:w="106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1793.56</w:t>
            </w:r>
          </w:p>
        </w:tc>
        <w:tc>
          <w:tcPr>
            <w:tcW w:w="103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3389.64</w:t>
            </w:r>
          </w:p>
        </w:tc>
        <w:tc>
          <w:tcPr>
            <w:tcW w:w="1647" w:type="dxa"/>
            <w:noWrap/>
            <w:vAlign w:val="center"/>
          </w:tcPr>
          <w:p>
            <w:pPr>
              <w:snapToGrid w:val="0"/>
              <w:spacing w:line="440" w:lineRule="exact"/>
              <w:ind w:firstLine="0" w:firstLineChars="0"/>
              <w:jc w:val="center"/>
              <w:rPr>
                <w:rFonts w:cs="Times New Roman"/>
                <w:color w:val="000000"/>
                <w:sz w:val="24"/>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6"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水城区</w:t>
            </w:r>
          </w:p>
        </w:tc>
        <w:tc>
          <w:tcPr>
            <w:tcW w:w="114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4296.61</w:t>
            </w:r>
          </w:p>
        </w:tc>
        <w:tc>
          <w:tcPr>
            <w:tcW w:w="101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319.22</w:t>
            </w:r>
          </w:p>
        </w:tc>
        <w:tc>
          <w:tcPr>
            <w:tcW w:w="1031"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466.53</w:t>
            </w:r>
          </w:p>
        </w:tc>
        <w:tc>
          <w:tcPr>
            <w:tcW w:w="1049"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741.13</w:t>
            </w:r>
          </w:p>
        </w:tc>
        <w:tc>
          <w:tcPr>
            <w:tcW w:w="106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996.60</w:t>
            </w:r>
          </w:p>
        </w:tc>
        <w:tc>
          <w:tcPr>
            <w:tcW w:w="103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1770.14</w:t>
            </w:r>
          </w:p>
        </w:tc>
        <w:tc>
          <w:tcPr>
            <w:tcW w:w="1647"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6"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钟山区</w:t>
            </w:r>
          </w:p>
        </w:tc>
        <w:tc>
          <w:tcPr>
            <w:tcW w:w="114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1520.01</w:t>
            </w:r>
          </w:p>
        </w:tc>
        <w:tc>
          <w:tcPr>
            <w:tcW w:w="101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93.68</w:t>
            </w:r>
          </w:p>
        </w:tc>
        <w:tc>
          <w:tcPr>
            <w:tcW w:w="1031"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177.36</w:t>
            </w:r>
          </w:p>
        </w:tc>
        <w:tc>
          <w:tcPr>
            <w:tcW w:w="1049"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278.57</w:t>
            </w:r>
          </w:p>
        </w:tc>
        <w:tc>
          <w:tcPr>
            <w:tcW w:w="106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347.18</w:t>
            </w:r>
          </w:p>
        </w:tc>
        <w:tc>
          <w:tcPr>
            <w:tcW w:w="1030"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615.21</w:t>
            </w:r>
          </w:p>
        </w:tc>
        <w:tc>
          <w:tcPr>
            <w:tcW w:w="1647" w:type="dxa"/>
            <w:noWrap/>
            <w:vAlign w:val="center"/>
          </w:tcPr>
          <w:p>
            <w:pPr>
              <w:widowControl/>
              <w:snapToGrid w:val="0"/>
              <w:spacing w:line="440" w:lineRule="exact"/>
              <w:ind w:firstLine="0" w:firstLineChars="0"/>
              <w:jc w:val="center"/>
              <w:textAlignment w:val="center"/>
              <w:rPr>
                <w:rFonts w:cs="Times New Roman"/>
                <w:color w:val="000000"/>
                <w:sz w:val="24"/>
                <w:szCs w:val="30"/>
              </w:rPr>
            </w:pPr>
            <w:r>
              <w:rPr>
                <w:rFonts w:hint="eastAsia" w:cs="Times New Roman"/>
                <w:color w:val="000000"/>
                <w:kern w:val="0"/>
                <w:sz w:val="24"/>
                <w:szCs w:val="30"/>
              </w:rPr>
              <w:t>8.00</w:t>
            </w:r>
          </w:p>
        </w:tc>
      </w:tr>
    </w:tbl>
    <w:p>
      <w:pPr>
        <w:ind w:firstLine="560"/>
        <w:rPr>
          <w:szCs w:val="21"/>
        </w:rPr>
      </w:pPr>
      <w:r>
        <w:rPr>
          <w:rFonts w:hint="eastAsia"/>
          <w:sz w:val="28"/>
          <w:szCs w:val="21"/>
        </w:rPr>
        <w:t>数据来源：六盘水市交通运输局</w:t>
      </w:r>
    </w:p>
    <w:p>
      <w:pPr>
        <w:pStyle w:val="28"/>
        <w:spacing w:line="240" w:lineRule="auto"/>
      </w:pPr>
      <w:r>
        <w:rPr>
          <w:rFonts w:hint="eastAsia"/>
        </w:rPr>
        <w:t>六盘水市2021—2025年公路旅客运输量</w:t>
      </w:r>
    </w:p>
    <w:tbl>
      <w:tblPr>
        <w:tblStyle w:val="21"/>
        <w:tblW w:w="9185" w:type="dxa"/>
        <w:jc w:val="center"/>
        <w:tblLayout w:type="fixed"/>
        <w:tblCellMar>
          <w:top w:w="0" w:type="dxa"/>
          <w:left w:w="108" w:type="dxa"/>
          <w:bottom w:w="0" w:type="dxa"/>
          <w:right w:w="108" w:type="dxa"/>
        </w:tblCellMar>
      </w:tblPr>
      <w:tblGrid>
        <w:gridCol w:w="1570"/>
        <w:gridCol w:w="2357"/>
        <w:gridCol w:w="1700"/>
        <w:gridCol w:w="1649"/>
        <w:gridCol w:w="1909"/>
      </w:tblGrid>
      <w:tr>
        <w:tblPrEx>
          <w:tblCellMar>
            <w:top w:w="0" w:type="dxa"/>
            <w:left w:w="108" w:type="dxa"/>
            <w:bottom w:w="0" w:type="dxa"/>
            <w:right w:w="108" w:type="dxa"/>
          </w:tblCellMar>
        </w:tblPrEx>
        <w:trPr>
          <w:tblHeader/>
          <w:jc w:val="center"/>
        </w:trPr>
        <w:tc>
          <w:tcPr>
            <w:tcW w:w="157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b/>
                <w:bCs/>
                <w:kern w:val="0"/>
                <w:sz w:val="24"/>
                <w:szCs w:val="24"/>
              </w:rPr>
            </w:pPr>
            <w:r>
              <w:rPr>
                <w:rFonts w:cs="Times New Roman"/>
                <w:b/>
                <w:bCs/>
                <w:kern w:val="0"/>
                <w:sz w:val="24"/>
                <w:szCs w:val="24"/>
              </w:rPr>
              <w:t>年份</w:t>
            </w:r>
          </w:p>
        </w:tc>
        <w:tc>
          <w:tcPr>
            <w:tcW w:w="2357"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b/>
                <w:bCs/>
                <w:kern w:val="0"/>
                <w:sz w:val="24"/>
                <w:szCs w:val="24"/>
              </w:rPr>
            </w:pPr>
            <w:r>
              <w:rPr>
                <w:rFonts w:cs="Times New Roman"/>
                <w:b/>
                <w:bCs/>
                <w:kern w:val="0"/>
                <w:sz w:val="24"/>
                <w:szCs w:val="24"/>
              </w:rPr>
              <w:t>货运量</w:t>
            </w:r>
          </w:p>
          <w:p>
            <w:pPr>
              <w:keepNext/>
              <w:widowControl/>
              <w:snapToGrid w:val="0"/>
              <w:spacing w:line="400" w:lineRule="exact"/>
              <w:ind w:firstLine="0" w:firstLineChars="0"/>
              <w:jc w:val="center"/>
              <w:rPr>
                <w:rFonts w:cs="Times New Roman"/>
                <w:b/>
                <w:bCs/>
                <w:kern w:val="0"/>
                <w:sz w:val="24"/>
                <w:szCs w:val="24"/>
              </w:rPr>
            </w:pPr>
            <w:r>
              <w:rPr>
                <w:rFonts w:cs="Times New Roman"/>
                <w:b/>
                <w:bCs/>
                <w:kern w:val="0"/>
                <w:sz w:val="24"/>
                <w:szCs w:val="24"/>
              </w:rPr>
              <w:t>（万吨）</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b/>
                <w:bCs/>
                <w:kern w:val="0"/>
                <w:sz w:val="24"/>
                <w:szCs w:val="24"/>
              </w:rPr>
            </w:pPr>
            <w:r>
              <w:rPr>
                <w:rFonts w:cs="Times New Roman"/>
                <w:b/>
                <w:bCs/>
                <w:kern w:val="0"/>
                <w:sz w:val="24"/>
                <w:szCs w:val="24"/>
              </w:rPr>
              <w:t>货运周转量</w:t>
            </w:r>
          </w:p>
          <w:p>
            <w:pPr>
              <w:keepNext/>
              <w:widowControl/>
              <w:snapToGrid w:val="0"/>
              <w:spacing w:line="400" w:lineRule="exact"/>
              <w:ind w:firstLine="0" w:firstLineChars="0"/>
              <w:jc w:val="center"/>
              <w:rPr>
                <w:rFonts w:cs="Times New Roman"/>
                <w:b/>
                <w:bCs/>
                <w:kern w:val="0"/>
                <w:sz w:val="24"/>
                <w:szCs w:val="24"/>
              </w:rPr>
            </w:pPr>
            <w:r>
              <w:rPr>
                <w:rFonts w:cs="Times New Roman"/>
                <w:b/>
                <w:bCs/>
                <w:kern w:val="0"/>
                <w:sz w:val="24"/>
                <w:szCs w:val="24"/>
              </w:rPr>
              <w:t>（万吨公里）</w:t>
            </w:r>
          </w:p>
        </w:tc>
        <w:tc>
          <w:tcPr>
            <w:tcW w:w="1649"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b/>
                <w:bCs/>
                <w:kern w:val="0"/>
                <w:sz w:val="24"/>
                <w:szCs w:val="24"/>
              </w:rPr>
            </w:pPr>
            <w:r>
              <w:rPr>
                <w:rFonts w:cs="Times New Roman"/>
                <w:b/>
                <w:bCs/>
                <w:kern w:val="0"/>
                <w:sz w:val="24"/>
                <w:szCs w:val="24"/>
              </w:rPr>
              <w:t>客运量</w:t>
            </w:r>
            <w:r>
              <w:rPr>
                <w:rFonts w:cs="Times New Roman"/>
                <w:b/>
                <w:bCs/>
                <w:kern w:val="0"/>
                <w:sz w:val="24"/>
                <w:szCs w:val="24"/>
              </w:rPr>
              <w:br w:type="textWrapping"/>
            </w:r>
            <w:r>
              <w:rPr>
                <w:rFonts w:cs="Times New Roman"/>
                <w:b/>
                <w:bCs/>
                <w:kern w:val="0"/>
                <w:sz w:val="24"/>
                <w:szCs w:val="24"/>
              </w:rPr>
              <w:t>（万人）</w:t>
            </w:r>
          </w:p>
        </w:tc>
        <w:tc>
          <w:tcPr>
            <w:tcW w:w="1909"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b/>
                <w:bCs/>
                <w:kern w:val="0"/>
                <w:sz w:val="24"/>
                <w:szCs w:val="24"/>
              </w:rPr>
            </w:pPr>
            <w:r>
              <w:rPr>
                <w:rFonts w:cs="Times New Roman"/>
                <w:b/>
                <w:bCs/>
                <w:kern w:val="0"/>
                <w:sz w:val="24"/>
                <w:szCs w:val="24"/>
              </w:rPr>
              <w:t>客运周转量（万人公里）</w:t>
            </w:r>
          </w:p>
        </w:tc>
      </w:tr>
      <w:tr>
        <w:tblPrEx>
          <w:tblCellMar>
            <w:top w:w="0" w:type="dxa"/>
            <w:left w:w="108" w:type="dxa"/>
            <w:bottom w:w="0" w:type="dxa"/>
            <w:right w:w="108" w:type="dxa"/>
          </w:tblCellMar>
        </w:tblPrEx>
        <w:trPr>
          <w:jc w:val="center"/>
        </w:trPr>
        <w:tc>
          <w:tcPr>
            <w:tcW w:w="157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2021年</w:t>
            </w:r>
          </w:p>
        </w:tc>
        <w:tc>
          <w:tcPr>
            <w:tcW w:w="2357"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0"/>
              </w:rPr>
            </w:pPr>
            <w:r>
              <w:rPr>
                <w:rFonts w:cs="Times New Roman"/>
                <w:kern w:val="0"/>
                <w:sz w:val="24"/>
                <w:szCs w:val="20"/>
              </w:rPr>
              <w:t>/</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793</w:t>
            </w:r>
          </w:p>
        </w:tc>
        <w:tc>
          <w:tcPr>
            <w:tcW w:w="19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85391</w:t>
            </w:r>
          </w:p>
        </w:tc>
      </w:tr>
      <w:tr>
        <w:tblPrEx>
          <w:tblCellMar>
            <w:top w:w="0" w:type="dxa"/>
            <w:left w:w="108" w:type="dxa"/>
            <w:bottom w:w="0" w:type="dxa"/>
            <w:right w:w="108" w:type="dxa"/>
          </w:tblCellMar>
        </w:tblPrEx>
        <w:trPr>
          <w:jc w:val="center"/>
        </w:trPr>
        <w:tc>
          <w:tcPr>
            <w:tcW w:w="157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2022年</w:t>
            </w:r>
          </w:p>
        </w:tc>
        <w:tc>
          <w:tcPr>
            <w:tcW w:w="2357"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0"/>
              </w:rPr>
            </w:pPr>
            <w:r>
              <w:rPr>
                <w:rFonts w:cs="Times New Roman"/>
                <w:kern w:val="0"/>
                <w:sz w:val="24"/>
                <w:szCs w:val="20"/>
              </w:rPr>
              <w:t>/</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1217</w:t>
            </w:r>
          </w:p>
        </w:tc>
        <w:tc>
          <w:tcPr>
            <w:tcW w:w="19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85697</w:t>
            </w:r>
          </w:p>
        </w:tc>
      </w:tr>
      <w:tr>
        <w:trPr>
          <w:jc w:val="center"/>
        </w:trPr>
        <w:tc>
          <w:tcPr>
            <w:tcW w:w="157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2023年</w:t>
            </w:r>
          </w:p>
        </w:tc>
        <w:tc>
          <w:tcPr>
            <w:tcW w:w="2357"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0"/>
              </w:rPr>
            </w:pPr>
            <w:r>
              <w:rPr>
                <w:rFonts w:cs="Times New Roman"/>
                <w:kern w:val="0"/>
                <w:sz w:val="24"/>
                <w:szCs w:val="20"/>
              </w:rPr>
              <w:t>/</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1289</w:t>
            </w:r>
          </w:p>
        </w:tc>
        <w:tc>
          <w:tcPr>
            <w:tcW w:w="19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92285</w:t>
            </w:r>
          </w:p>
        </w:tc>
      </w:tr>
      <w:tr>
        <w:tblPrEx>
          <w:tblCellMar>
            <w:top w:w="0" w:type="dxa"/>
            <w:left w:w="108" w:type="dxa"/>
            <w:bottom w:w="0" w:type="dxa"/>
            <w:right w:w="108" w:type="dxa"/>
          </w:tblCellMar>
        </w:tblPrEx>
        <w:trPr>
          <w:jc w:val="center"/>
        </w:trPr>
        <w:tc>
          <w:tcPr>
            <w:tcW w:w="157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2024年</w:t>
            </w:r>
          </w:p>
        </w:tc>
        <w:tc>
          <w:tcPr>
            <w:tcW w:w="2357"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275</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9675</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1305</w:t>
            </w:r>
          </w:p>
        </w:tc>
        <w:tc>
          <w:tcPr>
            <w:tcW w:w="19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115573</w:t>
            </w:r>
          </w:p>
        </w:tc>
      </w:tr>
      <w:tr>
        <w:tblPrEx>
          <w:tblCellMar>
            <w:top w:w="0" w:type="dxa"/>
            <w:left w:w="108" w:type="dxa"/>
            <w:bottom w:w="0" w:type="dxa"/>
            <w:right w:w="108" w:type="dxa"/>
          </w:tblCellMar>
        </w:tblPrEx>
        <w:trPr>
          <w:jc w:val="center"/>
        </w:trPr>
        <w:tc>
          <w:tcPr>
            <w:tcW w:w="157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2025</w:t>
            </w:r>
            <w:r>
              <w:rPr>
                <w:rFonts w:hint="eastAsia" w:cs="Times New Roman"/>
                <w:kern w:val="0"/>
                <w:sz w:val="24"/>
                <w:szCs w:val="24"/>
              </w:rPr>
              <w:t>年</w:t>
            </w:r>
          </w:p>
        </w:tc>
        <w:tc>
          <w:tcPr>
            <w:tcW w:w="2357"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250</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7896</w:t>
            </w:r>
          </w:p>
        </w:tc>
        <w:tc>
          <w:tcPr>
            <w:tcW w:w="16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1272</w:t>
            </w:r>
          </w:p>
        </w:tc>
        <w:tc>
          <w:tcPr>
            <w:tcW w:w="19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widowControl/>
              <w:snapToGrid w:val="0"/>
              <w:spacing w:line="400" w:lineRule="exact"/>
              <w:ind w:firstLine="0" w:firstLineChars="0"/>
              <w:jc w:val="center"/>
              <w:rPr>
                <w:rFonts w:cs="Times New Roman"/>
                <w:kern w:val="0"/>
                <w:sz w:val="24"/>
                <w:szCs w:val="24"/>
              </w:rPr>
            </w:pPr>
            <w:r>
              <w:rPr>
                <w:rFonts w:cs="Times New Roman"/>
                <w:kern w:val="0"/>
                <w:sz w:val="24"/>
                <w:szCs w:val="24"/>
              </w:rPr>
              <w:t>121519</w:t>
            </w:r>
          </w:p>
        </w:tc>
      </w:tr>
    </w:tbl>
    <w:p>
      <w:pPr>
        <w:ind w:firstLine="560"/>
        <w:rPr>
          <w:sz w:val="28"/>
          <w:szCs w:val="21"/>
        </w:rPr>
      </w:pPr>
      <w:r>
        <w:rPr>
          <w:rFonts w:hint="eastAsia"/>
          <w:sz w:val="28"/>
          <w:szCs w:val="21"/>
        </w:rPr>
        <w:t>数据来源：六盘水市交通运输局</w:t>
      </w:r>
    </w:p>
    <w:p>
      <w:pPr>
        <w:pStyle w:val="4"/>
        <w:ind w:firstLine="643"/>
      </w:pPr>
      <w:r>
        <w:rPr>
          <w:rFonts w:hint="eastAsia"/>
        </w:rPr>
        <w:t>3.机动车保有量情况</w:t>
      </w:r>
    </w:p>
    <w:p>
      <w:pPr>
        <w:spacing w:line="560" w:lineRule="exact"/>
        <w:ind w:firstLine="640"/>
      </w:pPr>
      <w:r>
        <w:rPr>
          <w:rFonts w:hint="eastAsia"/>
          <w:lang w:eastAsia="zh-CN"/>
        </w:rPr>
        <w:t>“</w:t>
      </w:r>
      <w:r>
        <w:rPr>
          <w:rFonts w:hint="eastAsia"/>
        </w:rPr>
        <w:t>十四五</w:t>
      </w:r>
      <w:r>
        <w:rPr>
          <w:rFonts w:hint="eastAsia"/>
          <w:lang w:eastAsia="zh-CN"/>
        </w:rPr>
        <w:t>”</w:t>
      </w:r>
      <w:r>
        <w:rPr>
          <w:rFonts w:hint="eastAsia"/>
        </w:rPr>
        <w:t>时期，六盘水市机动车保有量实现较快增长。截至2025年底，全市机动车保有量达</w:t>
      </w:r>
      <w:r>
        <w:t>84.92</w:t>
      </w:r>
      <w:r>
        <w:rPr>
          <w:rFonts w:hint="eastAsia"/>
        </w:rPr>
        <w:t>万辆，传统能源车保有量76.59万辆，占机动车总量的90.2%，仍是车用能源消费的绝对主体；新能源机动车保有量8.33万辆（含氢能汽车7辆），占机动车总量的9.8%。新能源机动车中，纯电动汽车7.77万辆，占新能源总量的93.3%；插电式混合动力汽车0.56万辆，占6.7%；氢能汽车7辆，尚处于示范应用起步阶段。新能源车保有量增速显著高于整体机动车水平，绿色低碳出行趋势日益凸显，车用补能结构加速向多元化、清洁化方向演进。</w:t>
      </w:r>
    </w:p>
    <w:p>
      <w:pPr>
        <w:widowControl/>
        <w:spacing w:line="240" w:lineRule="auto"/>
        <w:ind w:firstLine="0" w:firstLineChars="0"/>
        <w:jc w:val="left"/>
      </w:pPr>
      <w:r>
        <w:br w:type="page"/>
      </w:r>
    </w:p>
    <w:p>
      <w:pPr>
        <w:pStyle w:val="28"/>
      </w:pPr>
      <w:r>
        <w:rPr>
          <w:rFonts w:hint="eastAsia"/>
        </w:rPr>
        <w:t>六盘水市202</w:t>
      </w:r>
      <w:r>
        <w:t>1</w:t>
      </w:r>
      <w:r>
        <w:rPr>
          <w:rFonts w:hint="eastAsia"/>
        </w:rPr>
        <w:t>—2025年机动车保有量情况</w:t>
      </w:r>
    </w:p>
    <w:tbl>
      <w:tblPr>
        <w:tblStyle w:val="21"/>
        <w:tblW w:w="4998" w:type="pct"/>
        <w:tblInd w:w="0" w:type="dxa"/>
        <w:tblLayout w:type="autofit"/>
        <w:tblCellMar>
          <w:top w:w="0" w:type="dxa"/>
          <w:left w:w="108" w:type="dxa"/>
          <w:bottom w:w="0" w:type="dxa"/>
          <w:right w:w="108" w:type="dxa"/>
        </w:tblCellMar>
      </w:tblPr>
      <w:tblGrid>
        <w:gridCol w:w="1337"/>
        <w:gridCol w:w="1205"/>
        <w:gridCol w:w="1156"/>
        <w:gridCol w:w="1273"/>
        <w:gridCol w:w="1371"/>
        <w:gridCol w:w="1338"/>
        <w:gridCol w:w="1432"/>
      </w:tblGrid>
      <w:tr>
        <w:tblPrEx>
          <w:tblCellMar>
            <w:top w:w="0" w:type="dxa"/>
            <w:left w:w="108" w:type="dxa"/>
            <w:bottom w:w="0" w:type="dxa"/>
            <w:right w:w="108" w:type="dxa"/>
          </w:tblCellMar>
        </w:tblPrEx>
        <w:trPr>
          <w:trHeight w:val="576" w:hRule="atLeast"/>
        </w:trPr>
        <w:tc>
          <w:tcPr>
            <w:tcW w:w="733"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年份</w:t>
            </w:r>
          </w:p>
        </w:tc>
        <w:tc>
          <w:tcPr>
            <w:tcW w:w="661"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textAlignment w:val="center"/>
              <w:rPr>
                <w:rFonts w:eastAsia="宋体" w:cs="宋体"/>
                <w:color w:val="000000"/>
                <w:sz w:val="24"/>
                <w:szCs w:val="24"/>
              </w:rPr>
            </w:pPr>
            <w:r>
              <w:rPr>
                <w:rFonts w:hint="eastAsia" w:eastAsia="宋体" w:cs="宋体"/>
                <w:color w:val="000000"/>
                <w:kern w:val="0"/>
                <w:sz w:val="24"/>
                <w:szCs w:val="24"/>
                <w:lang w:bidi="ar"/>
              </w:rPr>
              <w:t>机动车保有量（万辆）</w:t>
            </w:r>
          </w:p>
        </w:tc>
        <w:tc>
          <w:tcPr>
            <w:tcW w:w="634"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textAlignment w:val="center"/>
              <w:rPr>
                <w:rFonts w:eastAsia="宋体" w:cs="宋体"/>
                <w:color w:val="000000"/>
                <w:sz w:val="24"/>
                <w:szCs w:val="24"/>
              </w:rPr>
            </w:pPr>
            <w:r>
              <w:rPr>
                <w:rFonts w:hint="eastAsia" w:eastAsia="宋体" w:cs="宋体"/>
                <w:color w:val="000000"/>
                <w:kern w:val="0"/>
                <w:sz w:val="24"/>
                <w:szCs w:val="24"/>
                <w:lang w:bidi="ar"/>
              </w:rPr>
              <w:t>传统能源车（万辆）</w:t>
            </w:r>
          </w:p>
        </w:tc>
        <w:tc>
          <w:tcPr>
            <w:tcW w:w="2969" w:type="pct"/>
            <w:gridSpan w:val="4"/>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新能源汽车（万辆）</w:t>
            </w:r>
          </w:p>
        </w:tc>
      </w:tr>
      <w:tr>
        <w:tblPrEx>
          <w:tblCellMar>
            <w:top w:w="0" w:type="dxa"/>
            <w:left w:w="108" w:type="dxa"/>
            <w:bottom w:w="0" w:type="dxa"/>
            <w:right w:w="108" w:type="dxa"/>
          </w:tblCellMar>
        </w:tblPrEx>
        <w:trPr>
          <w:trHeight w:val="576" w:hRule="atLeast"/>
        </w:trPr>
        <w:tc>
          <w:tcPr>
            <w:tcW w:w="733" w:type="pct"/>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rPr>
                <w:rFonts w:eastAsia="宋体" w:cs="宋体"/>
                <w:color w:val="000000"/>
                <w:sz w:val="24"/>
                <w:szCs w:val="24"/>
              </w:rPr>
            </w:pPr>
          </w:p>
        </w:tc>
        <w:tc>
          <w:tcPr>
            <w:tcW w:w="661" w:type="pct"/>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rPr>
                <w:rFonts w:eastAsia="宋体" w:cs="宋体"/>
                <w:color w:val="000000"/>
                <w:sz w:val="24"/>
                <w:szCs w:val="24"/>
              </w:rPr>
            </w:pPr>
          </w:p>
        </w:tc>
        <w:tc>
          <w:tcPr>
            <w:tcW w:w="634" w:type="pct"/>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rPr>
                <w:rFonts w:eastAsia="宋体" w:cs="宋体"/>
                <w:color w:val="000000"/>
                <w:sz w:val="24"/>
                <w:szCs w:val="24"/>
              </w:rPr>
            </w:pPr>
          </w:p>
        </w:tc>
        <w:tc>
          <w:tcPr>
            <w:tcW w:w="698" w:type="pct"/>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合计</w:t>
            </w:r>
          </w:p>
        </w:tc>
        <w:tc>
          <w:tcPr>
            <w:tcW w:w="752" w:type="pct"/>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纯电动（万辆）</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插电混动（万辆）</w:t>
            </w:r>
          </w:p>
        </w:tc>
        <w:tc>
          <w:tcPr>
            <w:tcW w:w="783" w:type="pct"/>
            <w:tcBorders>
              <w:top w:val="single" w:color="000000" w:sz="4" w:space="0"/>
              <w:left w:val="single" w:color="000000" w:sz="4" w:space="0"/>
              <w:bottom w:val="single" w:color="000000" w:sz="4" w:space="0"/>
              <w:right w:val="single" w:color="000000" w:sz="4" w:space="0"/>
            </w:tcBorders>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氢能汽车（辆）</w:t>
            </w:r>
          </w:p>
        </w:tc>
      </w:tr>
      <w:tr>
        <w:tblPrEx>
          <w:tblCellMar>
            <w:top w:w="0" w:type="dxa"/>
            <w:left w:w="108" w:type="dxa"/>
            <w:bottom w:w="0" w:type="dxa"/>
            <w:right w:w="108" w:type="dxa"/>
          </w:tblCellMar>
        </w:tblPrEx>
        <w:trPr>
          <w:trHeight w:val="288" w:hRule="atLeast"/>
        </w:trPr>
        <w:tc>
          <w:tcPr>
            <w:tcW w:w="73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2021年</w:t>
            </w:r>
          </w:p>
        </w:tc>
        <w:tc>
          <w:tcPr>
            <w:tcW w:w="661"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57.17</w:t>
            </w:r>
          </w:p>
        </w:tc>
        <w:tc>
          <w:tcPr>
            <w:tcW w:w="6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55.47</w:t>
            </w:r>
          </w:p>
        </w:tc>
        <w:tc>
          <w:tcPr>
            <w:tcW w:w="698"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1.7</w:t>
            </w:r>
          </w:p>
        </w:tc>
        <w:tc>
          <w:tcPr>
            <w:tcW w:w="752"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1.66</w:t>
            </w:r>
          </w:p>
        </w:tc>
        <w:tc>
          <w:tcPr>
            <w:tcW w:w="7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0.04</w:t>
            </w:r>
          </w:p>
        </w:tc>
        <w:tc>
          <w:tcPr>
            <w:tcW w:w="78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3</w:t>
            </w:r>
          </w:p>
        </w:tc>
      </w:tr>
      <w:tr>
        <w:tblPrEx>
          <w:tblCellMar>
            <w:top w:w="0" w:type="dxa"/>
            <w:left w:w="108" w:type="dxa"/>
            <w:bottom w:w="0" w:type="dxa"/>
            <w:right w:w="108" w:type="dxa"/>
          </w:tblCellMar>
        </w:tblPrEx>
        <w:trPr>
          <w:trHeight w:val="288" w:hRule="atLeast"/>
        </w:trPr>
        <w:tc>
          <w:tcPr>
            <w:tcW w:w="73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2022年</w:t>
            </w:r>
          </w:p>
        </w:tc>
        <w:tc>
          <w:tcPr>
            <w:tcW w:w="661"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64.3</w:t>
            </w:r>
          </w:p>
        </w:tc>
        <w:tc>
          <w:tcPr>
            <w:tcW w:w="6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61.24</w:t>
            </w:r>
          </w:p>
        </w:tc>
        <w:tc>
          <w:tcPr>
            <w:tcW w:w="698"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3.06</w:t>
            </w:r>
          </w:p>
        </w:tc>
        <w:tc>
          <w:tcPr>
            <w:tcW w:w="752"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2.99</w:t>
            </w:r>
          </w:p>
        </w:tc>
        <w:tc>
          <w:tcPr>
            <w:tcW w:w="7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0.07</w:t>
            </w:r>
          </w:p>
        </w:tc>
        <w:tc>
          <w:tcPr>
            <w:tcW w:w="78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3</w:t>
            </w:r>
          </w:p>
        </w:tc>
      </w:tr>
      <w:tr>
        <w:tblPrEx>
          <w:tblCellMar>
            <w:top w:w="0" w:type="dxa"/>
            <w:left w:w="108" w:type="dxa"/>
            <w:bottom w:w="0" w:type="dxa"/>
            <w:right w:w="108" w:type="dxa"/>
          </w:tblCellMar>
        </w:tblPrEx>
        <w:trPr>
          <w:trHeight w:val="288" w:hRule="atLeast"/>
        </w:trPr>
        <w:tc>
          <w:tcPr>
            <w:tcW w:w="73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2023年</w:t>
            </w:r>
          </w:p>
        </w:tc>
        <w:tc>
          <w:tcPr>
            <w:tcW w:w="661"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71.37</w:t>
            </w:r>
          </w:p>
        </w:tc>
        <w:tc>
          <w:tcPr>
            <w:tcW w:w="6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66.8</w:t>
            </w:r>
          </w:p>
        </w:tc>
        <w:tc>
          <w:tcPr>
            <w:tcW w:w="698"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4.58</w:t>
            </w:r>
          </w:p>
        </w:tc>
        <w:tc>
          <w:tcPr>
            <w:tcW w:w="752"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4.45</w:t>
            </w:r>
          </w:p>
        </w:tc>
        <w:tc>
          <w:tcPr>
            <w:tcW w:w="7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0.13</w:t>
            </w:r>
          </w:p>
        </w:tc>
        <w:tc>
          <w:tcPr>
            <w:tcW w:w="78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3</w:t>
            </w:r>
          </w:p>
        </w:tc>
      </w:tr>
      <w:tr>
        <w:tblPrEx>
          <w:tblCellMar>
            <w:top w:w="0" w:type="dxa"/>
            <w:left w:w="108" w:type="dxa"/>
            <w:bottom w:w="0" w:type="dxa"/>
            <w:right w:w="108" w:type="dxa"/>
          </w:tblCellMar>
        </w:tblPrEx>
        <w:trPr>
          <w:trHeight w:val="288" w:hRule="atLeast"/>
        </w:trPr>
        <w:tc>
          <w:tcPr>
            <w:tcW w:w="73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2024年</w:t>
            </w:r>
          </w:p>
        </w:tc>
        <w:tc>
          <w:tcPr>
            <w:tcW w:w="661"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78.09</w:t>
            </w:r>
          </w:p>
        </w:tc>
        <w:tc>
          <w:tcPr>
            <w:tcW w:w="6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71.88</w:t>
            </w:r>
          </w:p>
        </w:tc>
        <w:tc>
          <w:tcPr>
            <w:tcW w:w="698"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6.2</w:t>
            </w:r>
          </w:p>
        </w:tc>
        <w:tc>
          <w:tcPr>
            <w:tcW w:w="752"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5.89</w:t>
            </w:r>
          </w:p>
        </w:tc>
        <w:tc>
          <w:tcPr>
            <w:tcW w:w="7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0.31</w:t>
            </w:r>
          </w:p>
        </w:tc>
        <w:tc>
          <w:tcPr>
            <w:tcW w:w="78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7</w:t>
            </w:r>
          </w:p>
        </w:tc>
      </w:tr>
      <w:tr>
        <w:tblPrEx>
          <w:tblCellMar>
            <w:top w:w="0" w:type="dxa"/>
            <w:left w:w="108" w:type="dxa"/>
            <w:bottom w:w="0" w:type="dxa"/>
            <w:right w:w="108" w:type="dxa"/>
          </w:tblCellMar>
        </w:tblPrEx>
        <w:trPr>
          <w:trHeight w:val="288" w:hRule="atLeast"/>
        </w:trPr>
        <w:tc>
          <w:tcPr>
            <w:tcW w:w="73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2025年</w:t>
            </w:r>
          </w:p>
        </w:tc>
        <w:tc>
          <w:tcPr>
            <w:tcW w:w="661"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84.92</w:t>
            </w:r>
          </w:p>
        </w:tc>
        <w:tc>
          <w:tcPr>
            <w:tcW w:w="6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76.59</w:t>
            </w:r>
          </w:p>
        </w:tc>
        <w:tc>
          <w:tcPr>
            <w:tcW w:w="698"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8.33</w:t>
            </w:r>
          </w:p>
        </w:tc>
        <w:tc>
          <w:tcPr>
            <w:tcW w:w="752"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7.77</w:t>
            </w:r>
          </w:p>
        </w:tc>
        <w:tc>
          <w:tcPr>
            <w:tcW w:w="734"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0.56</w:t>
            </w:r>
          </w:p>
        </w:tc>
        <w:tc>
          <w:tcPr>
            <w:tcW w:w="783" w:type="pct"/>
            <w:tcBorders>
              <w:top w:val="single" w:color="000000" w:sz="4" w:space="0"/>
              <w:left w:val="single" w:color="000000" w:sz="4" w:space="0"/>
              <w:bottom w:val="single" w:color="000000" w:sz="4" w:space="0"/>
              <w:right w:val="single" w:color="000000" w:sz="4" w:space="0"/>
            </w:tcBorders>
            <w:noWrap/>
            <w:vAlign w:val="center"/>
          </w:tcPr>
          <w:p>
            <w:pPr>
              <w:widowControl/>
              <w:spacing w:line="520" w:lineRule="exact"/>
              <w:ind w:firstLine="0" w:firstLineChars="0"/>
              <w:jc w:val="center"/>
              <w:textAlignment w:val="center"/>
              <w:rPr>
                <w:rFonts w:eastAsia="宋体" w:cs="宋体"/>
                <w:color w:val="000000"/>
                <w:sz w:val="24"/>
                <w:szCs w:val="24"/>
              </w:rPr>
            </w:pPr>
            <w:r>
              <w:rPr>
                <w:rFonts w:hint="eastAsia" w:eastAsia="宋体" w:cs="宋体"/>
                <w:color w:val="000000"/>
                <w:kern w:val="0"/>
                <w:sz w:val="24"/>
                <w:szCs w:val="24"/>
                <w:lang w:bidi="ar"/>
              </w:rPr>
              <w:t>7</w:t>
            </w:r>
          </w:p>
        </w:tc>
      </w:tr>
    </w:tbl>
    <w:p>
      <w:pPr>
        <w:ind w:firstLine="560"/>
        <w:rPr>
          <w:sz w:val="28"/>
          <w:szCs w:val="21"/>
        </w:rPr>
      </w:pPr>
      <w:r>
        <w:rPr>
          <w:rFonts w:hint="eastAsia"/>
          <w:sz w:val="28"/>
          <w:szCs w:val="21"/>
        </w:rPr>
        <w:t>数据口径说明：①机动车保有量不含无动力挂车；②新能源汽车按国标统计，含纯电动、插电式混合动力、氢能汽车，不含普通油电混动；③传统能源车含汽油、柴油、天然气、液化石油气、甲醇及普通油电混动车辆。数据来源为六盘水市车管所。</w:t>
      </w:r>
    </w:p>
    <w:p>
      <w:pPr>
        <w:pStyle w:val="4"/>
        <w:ind w:firstLine="643"/>
      </w:pPr>
      <w:r>
        <w:rPr>
          <w:rFonts w:hint="eastAsia"/>
        </w:rPr>
        <w:t>4.能源销售情况</w:t>
      </w:r>
    </w:p>
    <w:p>
      <w:pPr>
        <w:keepNext w:val="0"/>
        <w:keepLines w:val="0"/>
        <w:pageBreakBefore w:val="0"/>
        <w:widowControl w:val="0"/>
        <w:kinsoku/>
        <w:wordWrap/>
        <w:overflowPunct/>
        <w:topLinePunct w:val="0"/>
        <w:autoSpaceDE/>
        <w:autoSpaceDN/>
        <w:bidi w:val="0"/>
        <w:adjustRightInd/>
        <w:snapToGrid/>
        <w:ind w:firstLine="640"/>
        <w:textAlignment w:val="auto"/>
      </w:pPr>
      <w:r>
        <w:rPr>
          <w:rFonts w:hint="eastAsia"/>
          <w:lang w:eastAsia="zh-CN"/>
        </w:rPr>
        <w:t>“</w:t>
      </w:r>
      <w:r>
        <w:rPr>
          <w:rFonts w:hint="eastAsia"/>
        </w:rPr>
        <w:t>十四五</w:t>
      </w:r>
      <w:r>
        <w:rPr>
          <w:rFonts w:hint="eastAsia"/>
          <w:lang w:eastAsia="zh-CN"/>
        </w:rPr>
        <w:t>”</w:t>
      </w:r>
      <w:r>
        <w:rPr>
          <w:rFonts w:hint="eastAsia"/>
        </w:rPr>
        <w:t>时期，六盘水市传统汽柴油与LNG、CNG消费趋势分化明显。2025年，全市汽柴油销售总量60.69万吨，其中汽油33.41万吨、柴油27.28万吨，较2021年均实现增长，五年整体呈稳步增长态势。LNG、CNG消费量较2020年大幅下降，市场规模持续收缩。氢能日销售量约</w:t>
      </w:r>
      <w:r>
        <w:t>500-800</w:t>
      </w:r>
      <w:r>
        <w:rPr>
          <w:rFonts w:hint="eastAsia"/>
        </w:rPr>
        <w:t>千克，实现从无到有突破；甲醇燃料消费基本为零，未形成市场需求。</w:t>
      </w:r>
    </w:p>
    <w:p>
      <w:pPr>
        <w:widowControl/>
        <w:spacing w:line="240" w:lineRule="auto"/>
        <w:ind w:firstLine="0" w:firstLineChars="0"/>
        <w:jc w:val="left"/>
      </w:pPr>
      <w:r>
        <w:br w:type="page"/>
      </w:r>
    </w:p>
    <w:p>
      <w:pPr>
        <w:pStyle w:val="28"/>
      </w:pPr>
      <w:r>
        <w:rPr>
          <w:rFonts w:hint="eastAsia"/>
        </w:rPr>
        <w:t>202</w:t>
      </w:r>
      <w:r>
        <w:t>1</w:t>
      </w:r>
      <w:r>
        <w:rPr>
          <w:rFonts w:hint="eastAsia"/>
        </w:rPr>
        <w:t>—2025年六盘水市能源销售量统计表</w:t>
      </w:r>
    </w:p>
    <w:tbl>
      <w:tblPr>
        <w:tblStyle w:val="21"/>
        <w:tblW w:w="539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56"/>
        <w:gridCol w:w="1198"/>
        <w:gridCol w:w="1408"/>
        <w:gridCol w:w="1268"/>
        <w:gridCol w:w="1265"/>
        <w:gridCol w:w="1190"/>
        <w:gridCol w:w="1166"/>
        <w:gridCol w:w="11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88" w:type="pct"/>
            <w:vAlign w:val="center"/>
          </w:tcPr>
          <w:p>
            <w:pPr>
              <w:spacing w:line="480" w:lineRule="exact"/>
              <w:ind w:firstLine="0" w:firstLineChars="0"/>
              <w:jc w:val="center"/>
              <w:rPr>
                <w:rFonts w:cs="Times New Roman"/>
                <w:b/>
                <w:bCs/>
                <w:sz w:val="24"/>
                <w:szCs w:val="24"/>
              </w:rPr>
            </w:pPr>
            <w:r>
              <w:rPr>
                <w:rFonts w:cs="Times New Roman"/>
                <w:b/>
                <w:bCs/>
                <w:sz w:val="24"/>
                <w:szCs w:val="24"/>
              </w:rPr>
              <w:t>年份</w:t>
            </w:r>
          </w:p>
        </w:tc>
        <w:tc>
          <w:tcPr>
            <w:tcW w:w="609" w:type="pct"/>
            <w:vAlign w:val="center"/>
          </w:tcPr>
          <w:p>
            <w:pPr>
              <w:spacing w:line="480" w:lineRule="exact"/>
              <w:ind w:firstLine="0" w:firstLineChars="0"/>
              <w:jc w:val="center"/>
              <w:rPr>
                <w:rFonts w:cs="Times New Roman"/>
                <w:b/>
                <w:bCs/>
                <w:sz w:val="24"/>
                <w:szCs w:val="24"/>
              </w:rPr>
            </w:pPr>
            <w:r>
              <w:rPr>
                <w:rFonts w:hint="eastAsia" w:cs="Times New Roman"/>
                <w:b/>
                <w:bCs/>
                <w:sz w:val="24"/>
                <w:szCs w:val="24"/>
              </w:rPr>
              <w:t>汽油</w:t>
            </w:r>
          </w:p>
          <w:p>
            <w:pPr>
              <w:spacing w:line="480" w:lineRule="exact"/>
              <w:ind w:firstLine="0" w:firstLineChars="0"/>
              <w:rPr>
                <w:rFonts w:cs="Times New Roman"/>
                <w:b/>
                <w:bCs/>
                <w:sz w:val="24"/>
                <w:szCs w:val="24"/>
              </w:rPr>
            </w:pPr>
            <w:r>
              <w:rPr>
                <w:rFonts w:cs="Times New Roman"/>
                <w:b/>
                <w:bCs/>
                <w:sz w:val="24"/>
                <w:szCs w:val="24"/>
              </w:rPr>
              <w:t>（万吨）</w:t>
            </w:r>
          </w:p>
        </w:tc>
        <w:tc>
          <w:tcPr>
            <w:tcW w:w="716" w:type="pct"/>
            <w:vAlign w:val="center"/>
          </w:tcPr>
          <w:p>
            <w:pPr>
              <w:spacing w:line="480" w:lineRule="exact"/>
              <w:ind w:firstLine="0" w:firstLineChars="0"/>
              <w:jc w:val="center"/>
              <w:rPr>
                <w:rFonts w:cs="Times New Roman"/>
                <w:b/>
                <w:bCs/>
                <w:sz w:val="24"/>
                <w:szCs w:val="24"/>
              </w:rPr>
            </w:pPr>
            <w:r>
              <w:rPr>
                <w:rFonts w:hint="eastAsia" w:cs="Times New Roman"/>
                <w:b/>
                <w:bCs/>
                <w:sz w:val="24"/>
                <w:szCs w:val="24"/>
              </w:rPr>
              <w:t>柴油</w:t>
            </w:r>
          </w:p>
          <w:p>
            <w:pPr>
              <w:spacing w:line="480" w:lineRule="exact"/>
              <w:ind w:firstLine="0" w:firstLineChars="0"/>
              <w:jc w:val="center"/>
              <w:rPr>
                <w:rFonts w:cs="Times New Roman"/>
                <w:b/>
                <w:bCs/>
                <w:sz w:val="24"/>
                <w:szCs w:val="24"/>
              </w:rPr>
            </w:pPr>
            <w:r>
              <w:rPr>
                <w:rFonts w:hint="eastAsia" w:cs="Times New Roman"/>
                <w:b/>
                <w:bCs/>
                <w:sz w:val="24"/>
                <w:szCs w:val="24"/>
              </w:rPr>
              <w:t>（</w:t>
            </w:r>
            <w:r>
              <w:rPr>
                <w:rFonts w:cs="Times New Roman"/>
                <w:b/>
                <w:bCs/>
                <w:sz w:val="24"/>
                <w:szCs w:val="24"/>
              </w:rPr>
              <w:t>万吨</w:t>
            </w:r>
            <w:r>
              <w:rPr>
                <w:rFonts w:hint="eastAsia" w:cs="Times New Roman"/>
                <w:b/>
                <w:bCs/>
                <w:sz w:val="24"/>
                <w:szCs w:val="24"/>
              </w:rPr>
              <w:t>）</w:t>
            </w:r>
          </w:p>
        </w:tc>
        <w:tc>
          <w:tcPr>
            <w:tcW w:w="645" w:type="pct"/>
            <w:vAlign w:val="center"/>
          </w:tcPr>
          <w:p>
            <w:pPr>
              <w:spacing w:line="480" w:lineRule="exact"/>
              <w:ind w:firstLine="0" w:firstLineChars="0"/>
              <w:jc w:val="center"/>
              <w:rPr>
                <w:rFonts w:cs="Times New Roman"/>
                <w:b/>
                <w:bCs/>
                <w:sz w:val="24"/>
                <w:szCs w:val="24"/>
              </w:rPr>
            </w:pPr>
            <w:r>
              <w:rPr>
                <w:rFonts w:cs="Times New Roman"/>
                <w:b/>
                <w:bCs/>
                <w:sz w:val="24"/>
                <w:szCs w:val="24"/>
              </w:rPr>
              <w:t>LNG</w:t>
            </w:r>
          </w:p>
          <w:p>
            <w:pPr>
              <w:spacing w:line="480" w:lineRule="exact"/>
              <w:ind w:firstLine="0" w:firstLineChars="0"/>
              <w:jc w:val="center"/>
              <w:rPr>
                <w:rFonts w:cs="Times New Roman"/>
                <w:b/>
                <w:bCs/>
                <w:sz w:val="24"/>
                <w:szCs w:val="24"/>
              </w:rPr>
            </w:pPr>
            <w:r>
              <w:rPr>
                <w:rFonts w:cs="Times New Roman"/>
                <w:b/>
                <w:bCs/>
                <w:sz w:val="24"/>
                <w:szCs w:val="24"/>
              </w:rPr>
              <w:t>（万吨）</w:t>
            </w:r>
          </w:p>
        </w:tc>
        <w:tc>
          <w:tcPr>
            <w:tcW w:w="643" w:type="pct"/>
            <w:vAlign w:val="center"/>
          </w:tcPr>
          <w:p>
            <w:pPr>
              <w:spacing w:line="480" w:lineRule="exact"/>
              <w:ind w:firstLine="0" w:firstLineChars="0"/>
              <w:jc w:val="center"/>
              <w:rPr>
                <w:rFonts w:cs="Times New Roman"/>
                <w:b/>
                <w:bCs/>
                <w:sz w:val="24"/>
                <w:szCs w:val="24"/>
              </w:rPr>
            </w:pPr>
            <w:r>
              <w:rPr>
                <w:rFonts w:cs="Times New Roman"/>
                <w:b/>
                <w:bCs/>
                <w:sz w:val="24"/>
                <w:szCs w:val="24"/>
              </w:rPr>
              <w:t>CNG</w:t>
            </w:r>
          </w:p>
          <w:p>
            <w:pPr>
              <w:spacing w:line="480" w:lineRule="exact"/>
              <w:ind w:firstLine="0" w:firstLineChars="0"/>
              <w:jc w:val="center"/>
              <w:rPr>
                <w:rFonts w:cs="Times New Roman"/>
                <w:b/>
                <w:bCs/>
                <w:sz w:val="24"/>
                <w:szCs w:val="24"/>
              </w:rPr>
            </w:pPr>
            <w:r>
              <w:rPr>
                <w:rFonts w:cs="Times New Roman"/>
                <w:b/>
                <w:bCs/>
                <w:sz w:val="24"/>
                <w:szCs w:val="24"/>
              </w:rPr>
              <w:t>（万吨）</w:t>
            </w:r>
          </w:p>
        </w:tc>
        <w:tc>
          <w:tcPr>
            <w:tcW w:w="605" w:type="pct"/>
            <w:vAlign w:val="center"/>
          </w:tcPr>
          <w:p>
            <w:pPr>
              <w:spacing w:line="480" w:lineRule="exact"/>
              <w:ind w:firstLine="0" w:firstLineChars="0"/>
              <w:jc w:val="center"/>
              <w:rPr>
                <w:rFonts w:cs="Times New Roman"/>
                <w:b/>
                <w:bCs/>
                <w:sz w:val="24"/>
                <w:szCs w:val="24"/>
              </w:rPr>
            </w:pPr>
            <w:r>
              <w:rPr>
                <w:rFonts w:cs="Times New Roman"/>
                <w:b/>
                <w:bCs/>
                <w:sz w:val="24"/>
                <w:szCs w:val="24"/>
              </w:rPr>
              <w:t>甲醇</w:t>
            </w:r>
          </w:p>
          <w:p>
            <w:pPr>
              <w:spacing w:line="480" w:lineRule="exact"/>
              <w:ind w:firstLine="0" w:firstLineChars="0"/>
              <w:rPr>
                <w:rFonts w:cs="Times New Roman"/>
                <w:b/>
                <w:bCs/>
                <w:sz w:val="24"/>
                <w:szCs w:val="24"/>
              </w:rPr>
            </w:pPr>
            <w:r>
              <w:rPr>
                <w:rFonts w:cs="Times New Roman"/>
                <w:b/>
                <w:bCs/>
                <w:sz w:val="24"/>
                <w:szCs w:val="24"/>
              </w:rPr>
              <w:t>（万吨）</w:t>
            </w:r>
          </w:p>
        </w:tc>
        <w:tc>
          <w:tcPr>
            <w:tcW w:w="593" w:type="pct"/>
            <w:vAlign w:val="center"/>
          </w:tcPr>
          <w:p>
            <w:pPr>
              <w:spacing w:line="480" w:lineRule="exact"/>
              <w:ind w:firstLine="0" w:firstLineChars="0"/>
              <w:jc w:val="center"/>
              <w:rPr>
                <w:rFonts w:cs="Times New Roman"/>
                <w:b/>
                <w:bCs/>
                <w:sz w:val="24"/>
                <w:szCs w:val="24"/>
              </w:rPr>
            </w:pPr>
            <w:r>
              <w:rPr>
                <w:rFonts w:cs="Times New Roman"/>
                <w:b/>
                <w:bCs/>
                <w:sz w:val="24"/>
                <w:szCs w:val="24"/>
              </w:rPr>
              <w:t>氢能</w:t>
            </w:r>
          </w:p>
          <w:p>
            <w:pPr>
              <w:spacing w:line="480" w:lineRule="exact"/>
              <w:ind w:firstLine="0" w:firstLineChars="0"/>
              <w:rPr>
                <w:rFonts w:cs="Times New Roman"/>
                <w:b/>
                <w:bCs/>
                <w:sz w:val="24"/>
                <w:szCs w:val="24"/>
              </w:rPr>
            </w:pPr>
            <w:r>
              <w:rPr>
                <w:rFonts w:cs="Times New Roman"/>
                <w:b/>
                <w:bCs/>
                <w:sz w:val="24"/>
                <w:szCs w:val="24"/>
              </w:rPr>
              <w:t>（</w:t>
            </w:r>
            <w:r>
              <w:rPr>
                <w:rFonts w:hint="eastAsia" w:cs="Times New Roman"/>
                <w:b/>
                <w:bCs/>
                <w:sz w:val="24"/>
                <w:szCs w:val="24"/>
              </w:rPr>
              <w:t>千克</w:t>
            </w:r>
            <w:r>
              <w:rPr>
                <w:rFonts w:cs="Times New Roman"/>
                <w:b/>
                <w:bCs/>
                <w:sz w:val="24"/>
                <w:szCs w:val="24"/>
              </w:rPr>
              <w:t>）</w:t>
            </w:r>
          </w:p>
        </w:tc>
        <w:tc>
          <w:tcPr>
            <w:tcW w:w="598" w:type="pct"/>
            <w:vAlign w:val="center"/>
          </w:tcPr>
          <w:p>
            <w:pPr>
              <w:spacing w:line="480" w:lineRule="exact"/>
              <w:ind w:firstLine="0" w:firstLineChars="0"/>
              <w:jc w:val="center"/>
              <w:rPr>
                <w:rFonts w:cs="Times New Roman"/>
                <w:b/>
                <w:bCs/>
                <w:sz w:val="24"/>
                <w:szCs w:val="24"/>
              </w:rPr>
            </w:pPr>
            <w:r>
              <w:rPr>
                <w:rFonts w:cs="Times New Roman"/>
                <w:b/>
                <w:bCs/>
                <w:sz w:val="24"/>
                <w:szCs w:val="24"/>
              </w:rPr>
              <w:t>电能</w:t>
            </w:r>
          </w:p>
          <w:p>
            <w:pPr>
              <w:spacing w:line="480" w:lineRule="exact"/>
              <w:ind w:firstLine="0" w:firstLineChars="0"/>
              <w:jc w:val="center"/>
              <w:rPr>
                <w:rFonts w:cs="Times New Roman"/>
                <w:b/>
                <w:bCs/>
                <w:sz w:val="24"/>
                <w:szCs w:val="24"/>
              </w:rPr>
            </w:pPr>
            <w:r>
              <w:rPr>
                <w:rFonts w:cs="Times New Roman"/>
                <w:b/>
                <w:bCs/>
                <w:sz w:val="24"/>
                <w:szCs w:val="24"/>
              </w:rPr>
              <w:t>（万千瓦时）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88" w:type="pct"/>
            <w:vAlign w:val="center"/>
          </w:tcPr>
          <w:p>
            <w:pPr>
              <w:spacing w:line="480" w:lineRule="exact"/>
              <w:ind w:firstLine="0" w:firstLineChars="0"/>
              <w:jc w:val="center"/>
              <w:rPr>
                <w:rFonts w:cs="Times New Roman"/>
                <w:sz w:val="24"/>
                <w:szCs w:val="24"/>
              </w:rPr>
            </w:pPr>
            <w:r>
              <w:rPr>
                <w:rFonts w:cs="Times New Roman"/>
                <w:sz w:val="24"/>
                <w:szCs w:val="24"/>
              </w:rPr>
              <w:t>2021年</w:t>
            </w:r>
          </w:p>
        </w:tc>
        <w:tc>
          <w:tcPr>
            <w:tcW w:w="609" w:type="pct"/>
            <w:vAlign w:val="center"/>
          </w:tcPr>
          <w:p>
            <w:pPr>
              <w:spacing w:line="480" w:lineRule="exact"/>
              <w:ind w:firstLine="0" w:firstLineChars="0"/>
              <w:jc w:val="center"/>
              <w:rPr>
                <w:rFonts w:cs="Times New Roman"/>
                <w:sz w:val="24"/>
                <w:szCs w:val="24"/>
              </w:rPr>
            </w:pPr>
            <w:r>
              <w:rPr>
                <w:rFonts w:cs="Times New Roman"/>
                <w:sz w:val="24"/>
                <w:szCs w:val="24"/>
              </w:rPr>
              <w:t>27.34</w:t>
            </w:r>
          </w:p>
        </w:tc>
        <w:tc>
          <w:tcPr>
            <w:tcW w:w="716" w:type="pct"/>
            <w:vAlign w:val="center"/>
          </w:tcPr>
          <w:p>
            <w:pPr>
              <w:spacing w:line="480" w:lineRule="exact"/>
              <w:ind w:firstLine="0" w:firstLineChars="0"/>
              <w:jc w:val="center"/>
              <w:rPr>
                <w:rFonts w:cs="Times New Roman"/>
                <w:sz w:val="24"/>
                <w:szCs w:val="24"/>
              </w:rPr>
            </w:pPr>
            <w:r>
              <w:rPr>
                <w:rFonts w:cs="Times New Roman"/>
                <w:sz w:val="24"/>
                <w:szCs w:val="24"/>
              </w:rPr>
              <w:t>23.23</w:t>
            </w:r>
          </w:p>
        </w:tc>
        <w:tc>
          <w:tcPr>
            <w:tcW w:w="645" w:type="pct"/>
            <w:vAlign w:val="center"/>
          </w:tcPr>
          <w:p>
            <w:pPr>
              <w:spacing w:line="480" w:lineRule="exact"/>
              <w:ind w:firstLine="0" w:firstLineChars="0"/>
              <w:jc w:val="center"/>
              <w:rPr>
                <w:rFonts w:cs="Times New Roman"/>
                <w:sz w:val="24"/>
                <w:szCs w:val="24"/>
              </w:rPr>
            </w:pPr>
            <w:r>
              <w:rPr>
                <w:rFonts w:cs="Times New Roman"/>
                <w:sz w:val="24"/>
                <w:szCs w:val="24"/>
              </w:rPr>
              <w:t>0.21</w:t>
            </w:r>
          </w:p>
        </w:tc>
        <w:tc>
          <w:tcPr>
            <w:tcW w:w="643" w:type="pct"/>
            <w:vAlign w:val="center"/>
          </w:tcPr>
          <w:p>
            <w:pPr>
              <w:spacing w:line="480" w:lineRule="exact"/>
              <w:ind w:firstLine="0" w:firstLineChars="0"/>
              <w:jc w:val="center"/>
              <w:rPr>
                <w:rFonts w:cs="Times New Roman"/>
                <w:sz w:val="24"/>
                <w:szCs w:val="24"/>
              </w:rPr>
            </w:pPr>
            <w:r>
              <w:rPr>
                <w:rFonts w:cs="Times New Roman"/>
                <w:sz w:val="24"/>
                <w:szCs w:val="24"/>
              </w:rPr>
              <w:t>0.57</w:t>
            </w:r>
          </w:p>
        </w:tc>
        <w:tc>
          <w:tcPr>
            <w:tcW w:w="605"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3"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8" w:type="pct"/>
            <w:vAlign w:val="center"/>
          </w:tcPr>
          <w:p>
            <w:pPr>
              <w:spacing w:line="480" w:lineRule="exact"/>
              <w:ind w:firstLine="0" w:firstLineChars="0"/>
              <w:jc w:val="center"/>
              <w:rPr>
                <w:rFonts w:cs="Times New Roman"/>
                <w:sz w:val="24"/>
                <w:szCs w:val="24"/>
              </w:rPr>
            </w:pPr>
            <w:r>
              <w:rPr>
                <w:rFonts w:cs="Times New Roman"/>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88" w:type="pct"/>
            <w:vAlign w:val="center"/>
          </w:tcPr>
          <w:p>
            <w:pPr>
              <w:spacing w:line="480" w:lineRule="exact"/>
              <w:ind w:firstLine="0" w:firstLineChars="0"/>
              <w:jc w:val="center"/>
              <w:rPr>
                <w:rFonts w:cs="Times New Roman"/>
                <w:sz w:val="24"/>
                <w:szCs w:val="24"/>
              </w:rPr>
            </w:pPr>
            <w:r>
              <w:rPr>
                <w:rFonts w:cs="Times New Roman"/>
                <w:sz w:val="24"/>
                <w:szCs w:val="24"/>
              </w:rPr>
              <w:t>2022年</w:t>
            </w:r>
          </w:p>
        </w:tc>
        <w:tc>
          <w:tcPr>
            <w:tcW w:w="609" w:type="pct"/>
            <w:vAlign w:val="center"/>
          </w:tcPr>
          <w:p>
            <w:pPr>
              <w:spacing w:line="480" w:lineRule="exact"/>
              <w:ind w:firstLine="0" w:firstLineChars="0"/>
              <w:jc w:val="center"/>
              <w:rPr>
                <w:rFonts w:cs="Times New Roman"/>
                <w:sz w:val="24"/>
                <w:szCs w:val="24"/>
              </w:rPr>
            </w:pPr>
            <w:r>
              <w:rPr>
                <w:rFonts w:cs="Times New Roman"/>
                <w:sz w:val="24"/>
                <w:szCs w:val="24"/>
              </w:rPr>
              <w:t>28.61</w:t>
            </w:r>
          </w:p>
        </w:tc>
        <w:tc>
          <w:tcPr>
            <w:tcW w:w="716" w:type="pct"/>
            <w:vAlign w:val="center"/>
          </w:tcPr>
          <w:p>
            <w:pPr>
              <w:spacing w:line="480" w:lineRule="exact"/>
              <w:ind w:firstLine="0" w:firstLineChars="0"/>
              <w:jc w:val="center"/>
              <w:rPr>
                <w:rFonts w:cs="Times New Roman"/>
                <w:sz w:val="24"/>
                <w:szCs w:val="24"/>
              </w:rPr>
            </w:pPr>
            <w:r>
              <w:rPr>
                <w:rFonts w:cs="Times New Roman"/>
                <w:sz w:val="24"/>
                <w:szCs w:val="24"/>
              </w:rPr>
              <w:t>22.72</w:t>
            </w:r>
          </w:p>
        </w:tc>
        <w:tc>
          <w:tcPr>
            <w:tcW w:w="645" w:type="pct"/>
            <w:vAlign w:val="center"/>
          </w:tcPr>
          <w:p>
            <w:pPr>
              <w:spacing w:line="480" w:lineRule="exact"/>
              <w:ind w:firstLine="0" w:firstLineChars="0"/>
              <w:jc w:val="center"/>
              <w:rPr>
                <w:rFonts w:cs="Times New Roman"/>
                <w:sz w:val="24"/>
                <w:szCs w:val="24"/>
              </w:rPr>
            </w:pPr>
            <w:r>
              <w:rPr>
                <w:rFonts w:cs="Times New Roman"/>
                <w:sz w:val="24"/>
                <w:szCs w:val="24"/>
              </w:rPr>
              <w:t>0.08</w:t>
            </w:r>
          </w:p>
        </w:tc>
        <w:tc>
          <w:tcPr>
            <w:tcW w:w="643" w:type="pct"/>
            <w:vAlign w:val="center"/>
          </w:tcPr>
          <w:p>
            <w:pPr>
              <w:spacing w:line="480" w:lineRule="exact"/>
              <w:ind w:firstLine="0" w:firstLineChars="0"/>
              <w:jc w:val="center"/>
              <w:rPr>
                <w:rFonts w:cs="Times New Roman"/>
                <w:sz w:val="24"/>
                <w:szCs w:val="24"/>
              </w:rPr>
            </w:pPr>
            <w:r>
              <w:rPr>
                <w:rFonts w:cs="Times New Roman"/>
                <w:sz w:val="24"/>
                <w:szCs w:val="24"/>
              </w:rPr>
              <w:t>0.47</w:t>
            </w:r>
          </w:p>
        </w:tc>
        <w:tc>
          <w:tcPr>
            <w:tcW w:w="605"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3"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8" w:type="pct"/>
            <w:vAlign w:val="center"/>
          </w:tcPr>
          <w:p>
            <w:pPr>
              <w:spacing w:line="480" w:lineRule="exact"/>
              <w:ind w:firstLine="0" w:firstLineChars="0"/>
              <w:jc w:val="center"/>
              <w:rPr>
                <w:rFonts w:cs="Times New Roman"/>
                <w:sz w:val="24"/>
                <w:szCs w:val="24"/>
              </w:rPr>
            </w:pPr>
            <w:r>
              <w:rPr>
                <w:rFonts w:cs="Times New Roman"/>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88" w:type="pct"/>
            <w:vAlign w:val="center"/>
          </w:tcPr>
          <w:p>
            <w:pPr>
              <w:spacing w:line="480" w:lineRule="exact"/>
              <w:ind w:firstLine="0" w:firstLineChars="0"/>
              <w:jc w:val="center"/>
              <w:rPr>
                <w:rFonts w:cs="Times New Roman"/>
                <w:sz w:val="24"/>
                <w:szCs w:val="24"/>
              </w:rPr>
            </w:pPr>
            <w:r>
              <w:rPr>
                <w:rFonts w:cs="Times New Roman"/>
                <w:sz w:val="24"/>
                <w:szCs w:val="24"/>
              </w:rPr>
              <w:t>2023年</w:t>
            </w:r>
          </w:p>
        </w:tc>
        <w:tc>
          <w:tcPr>
            <w:tcW w:w="609" w:type="pct"/>
            <w:vAlign w:val="center"/>
          </w:tcPr>
          <w:p>
            <w:pPr>
              <w:spacing w:line="480" w:lineRule="exact"/>
              <w:ind w:firstLine="0" w:firstLineChars="0"/>
              <w:jc w:val="center"/>
              <w:rPr>
                <w:rFonts w:cs="Times New Roman"/>
                <w:sz w:val="24"/>
                <w:szCs w:val="24"/>
              </w:rPr>
            </w:pPr>
            <w:r>
              <w:rPr>
                <w:rFonts w:cs="Times New Roman"/>
                <w:sz w:val="24"/>
                <w:szCs w:val="24"/>
              </w:rPr>
              <w:t>29.65</w:t>
            </w:r>
          </w:p>
        </w:tc>
        <w:tc>
          <w:tcPr>
            <w:tcW w:w="716" w:type="pct"/>
            <w:vAlign w:val="center"/>
          </w:tcPr>
          <w:p>
            <w:pPr>
              <w:spacing w:line="480" w:lineRule="exact"/>
              <w:ind w:firstLine="0" w:firstLineChars="0"/>
              <w:jc w:val="center"/>
              <w:rPr>
                <w:rFonts w:cs="Times New Roman"/>
                <w:sz w:val="24"/>
                <w:szCs w:val="24"/>
              </w:rPr>
            </w:pPr>
            <w:r>
              <w:rPr>
                <w:rFonts w:cs="Times New Roman"/>
                <w:sz w:val="24"/>
                <w:szCs w:val="24"/>
              </w:rPr>
              <w:t>24.65</w:t>
            </w:r>
          </w:p>
        </w:tc>
        <w:tc>
          <w:tcPr>
            <w:tcW w:w="645" w:type="pct"/>
            <w:vAlign w:val="center"/>
          </w:tcPr>
          <w:p>
            <w:pPr>
              <w:spacing w:line="480" w:lineRule="exact"/>
              <w:ind w:firstLine="0" w:firstLineChars="0"/>
              <w:jc w:val="center"/>
              <w:rPr>
                <w:rFonts w:cs="Times New Roman"/>
                <w:sz w:val="24"/>
                <w:szCs w:val="24"/>
              </w:rPr>
            </w:pPr>
            <w:r>
              <w:rPr>
                <w:rFonts w:cs="Times New Roman"/>
                <w:sz w:val="24"/>
                <w:szCs w:val="24"/>
              </w:rPr>
              <w:t>0.05</w:t>
            </w:r>
          </w:p>
        </w:tc>
        <w:tc>
          <w:tcPr>
            <w:tcW w:w="643" w:type="pct"/>
            <w:vAlign w:val="center"/>
          </w:tcPr>
          <w:p>
            <w:pPr>
              <w:spacing w:line="480" w:lineRule="exact"/>
              <w:ind w:firstLine="0" w:firstLineChars="0"/>
              <w:jc w:val="center"/>
              <w:rPr>
                <w:rFonts w:cs="Times New Roman"/>
                <w:sz w:val="24"/>
                <w:szCs w:val="24"/>
              </w:rPr>
            </w:pPr>
            <w:r>
              <w:rPr>
                <w:rFonts w:cs="Times New Roman"/>
                <w:sz w:val="24"/>
                <w:szCs w:val="24"/>
              </w:rPr>
              <w:t>0.24</w:t>
            </w:r>
          </w:p>
        </w:tc>
        <w:tc>
          <w:tcPr>
            <w:tcW w:w="605"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3"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8" w:type="pct"/>
            <w:vAlign w:val="center"/>
          </w:tcPr>
          <w:p>
            <w:pPr>
              <w:spacing w:line="480" w:lineRule="exact"/>
              <w:ind w:firstLine="0" w:firstLineChars="0"/>
              <w:jc w:val="center"/>
              <w:rPr>
                <w:rFonts w:cs="Times New Roman"/>
                <w:sz w:val="24"/>
                <w:szCs w:val="24"/>
              </w:rPr>
            </w:pPr>
            <w:r>
              <w:rPr>
                <w:rFonts w:cs="Times New Roman"/>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88" w:type="pct"/>
            <w:vAlign w:val="center"/>
          </w:tcPr>
          <w:p>
            <w:pPr>
              <w:spacing w:line="480" w:lineRule="exact"/>
              <w:ind w:firstLine="0" w:firstLineChars="0"/>
              <w:jc w:val="center"/>
              <w:rPr>
                <w:rFonts w:cs="Times New Roman"/>
                <w:sz w:val="24"/>
                <w:szCs w:val="24"/>
              </w:rPr>
            </w:pPr>
            <w:r>
              <w:rPr>
                <w:rFonts w:cs="Times New Roman"/>
                <w:sz w:val="24"/>
                <w:szCs w:val="24"/>
              </w:rPr>
              <w:t>2024年</w:t>
            </w:r>
          </w:p>
        </w:tc>
        <w:tc>
          <w:tcPr>
            <w:tcW w:w="609" w:type="pct"/>
            <w:vAlign w:val="center"/>
          </w:tcPr>
          <w:p>
            <w:pPr>
              <w:spacing w:line="480" w:lineRule="exact"/>
              <w:ind w:firstLine="0" w:firstLineChars="0"/>
              <w:jc w:val="center"/>
              <w:rPr>
                <w:rFonts w:cs="Times New Roman"/>
                <w:sz w:val="24"/>
                <w:szCs w:val="24"/>
              </w:rPr>
            </w:pPr>
            <w:r>
              <w:rPr>
                <w:rFonts w:cs="Times New Roman"/>
                <w:sz w:val="24"/>
                <w:szCs w:val="24"/>
              </w:rPr>
              <w:t>35.68</w:t>
            </w:r>
          </w:p>
        </w:tc>
        <w:tc>
          <w:tcPr>
            <w:tcW w:w="716" w:type="pct"/>
            <w:vAlign w:val="center"/>
          </w:tcPr>
          <w:p>
            <w:pPr>
              <w:spacing w:line="480" w:lineRule="exact"/>
              <w:ind w:firstLine="0" w:firstLineChars="0"/>
              <w:jc w:val="center"/>
              <w:rPr>
                <w:rFonts w:cs="Times New Roman"/>
                <w:sz w:val="24"/>
                <w:szCs w:val="24"/>
              </w:rPr>
            </w:pPr>
            <w:r>
              <w:rPr>
                <w:rFonts w:cs="Times New Roman"/>
                <w:sz w:val="24"/>
                <w:szCs w:val="24"/>
              </w:rPr>
              <w:t>22.81</w:t>
            </w:r>
          </w:p>
        </w:tc>
        <w:tc>
          <w:tcPr>
            <w:tcW w:w="645" w:type="pct"/>
            <w:vAlign w:val="center"/>
          </w:tcPr>
          <w:p>
            <w:pPr>
              <w:spacing w:line="480" w:lineRule="exact"/>
              <w:ind w:firstLine="0" w:firstLineChars="0"/>
              <w:jc w:val="center"/>
              <w:rPr>
                <w:rFonts w:cs="Times New Roman"/>
                <w:sz w:val="24"/>
                <w:szCs w:val="24"/>
              </w:rPr>
            </w:pPr>
            <w:r>
              <w:rPr>
                <w:rFonts w:cs="Times New Roman"/>
                <w:sz w:val="24"/>
                <w:szCs w:val="24"/>
              </w:rPr>
              <w:t>0.04</w:t>
            </w:r>
          </w:p>
        </w:tc>
        <w:tc>
          <w:tcPr>
            <w:tcW w:w="643" w:type="pct"/>
            <w:vAlign w:val="center"/>
          </w:tcPr>
          <w:p>
            <w:pPr>
              <w:spacing w:line="480" w:lineRule="exact"/>
              <w:ind w:firstLine="0" w:firstLineChars="0"/>
              <w:jc w:val="center"/>
              <w:rPr>
                <w:rFonts w:cs="Times New Roman"/>
                <w:sz w:val="24"/>
                <w:szCs w:val="24"/>
              </w:rPr>
            </w:pPr>
            <w:r>
              <w:rPr>
                <w:rFonts w:cs="Times New Roman"/>
                <w:sz w:val="24"/>
                <w:szCs w:val="24"/>
              </w:rPr>
              <w:t>0.18</w:t>
            </w:r>
          </w:p>
        </w:tc>
        <w:tc>
          <w:tcPr>
            <w:tcW w:w="605"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3"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8" w:type="pct"/>
            <w:vAlign w:val="center"/>
          </w:tcPr>
          <w:p>
            <w:pPr>
              <w:spacing w:line="480" w:lineRule="exact"/>
              <w:ind w:firstLine="0" w:firstLineChars="0"/>
              <w:jc w:val="center"/>
              <w:rPr>
                <w:rFonts w:cs="Times New Roman"/>
                <w:sz w:val="24"/>
                <w:szCs w:val="24"/>
              </w:rPr>
            </w:pPr>
            <w:r>
              <w:rPr>
                <w:rFonts w:cs="Times New Roman"/>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88" w:type="pct"/>
            <w:vAlign w:val="center"/>
          </w:tcPr>
          <w:p>
            <w:pPr>
              <w:spacing w:line="480" w:lineRule="exact"/>
              <w:ind w:firstLine="0" w:firstLineChars="0"/>
              <w:jc w:val="center"/>
              <w:rPr>
                <w:rFonts w:cs="Times New Roman"/>
                <w:sz w:val="24"/>
                <w:szCs w:val="24"/>
              </w:rPr>
            </w:pPr>
            <w:r>
              <w:rPr>
                <w:rFonts w:cs="Times New Roman"/>
                <w:sz w:val="24"/>
                <w:szCs w:val="24"/>
              </w:rPr>
              <w:t>2025年</w:t>
            </w:r>
          </w:p>
        </w:tc>
        <w:tc>
          <w:tcPr>
            <w:tcW w:w="609" w:type="pct"/>
            <w:vAlign w:val="center"/>
          </w:tcPr>
          <w:p>
            <w:pPr>
              <w:spacing w:line="480" w:lineRule="exact"/>
              <w:ind w:firstLine="0" w:firstLineChars="0"/>
              <w:jc w:val="center"/>
              <w:rPr>
                <w:rFonts w:cs="Times New Roman"/>
                <w:sz w:val="24"/>
                <w:szCs w:val="24"/>
              </w:rPr>
            </w:pPr>
            <w:bookmarkStart w:id="35" w:name="_Hlk227487561"/>
            <w:r>
              <w:rPr>
                <w:rFonts w:cs="Times New Roman"/>
                <w:sz w:val="24"/>
                <w:szCs w:val="24"/>
              </w:rPr>
              <w:t>33.41</w:t>
            </w:r>
            <w:bookmarkEnd w:id="35"/>
          </w:p>
        </w:tc>
        <w:tc>
          <w:tcPr>
            <w:tcW w:w="716" w:type="pct"/>
            <w:vAlign w:val="center"/>
          </w:tcPr>
          <w:p>
            <w:pPr>
              <w:spacing w:line="480" w:lineRule="exact"/>
              <w:ind w:firstLine="0" w:firstLineChars="0"/>
              <w:jc w:val="center"/>
              <w:rPr>
                <w:rFonts w:cs="Times New Roman"/>
                <w:sz w:val="24"/>
                <w:szCs w:val="24"/>
              </w:rPr>
            </w:pPr>
            <w:r>
              <w:rPr>
                <w:rFonts w:cs="Times New Roman"/>
                <w:sz w:val="24"/>
                <w:szCs w:val="24"/>
              </w:rPr>
              <w:t>27.28</w:t>
            </w:r>
          </w:p>
        </w:tc>
        <w:tc>
          <w:tcPr>
            <w:tcW w:w="645" w:type="pct"/>
            <w:vAlign w:val="center"/>
          </w:tcPr>
          <w:p>
            <w:pPr>
              <w:spacing w:line="480" w:lineRule="exact"/>
              <w:ind w:firstLine="0" w:firstLineChars="0"/>
              <w:jc w:val="center"/>
              <w:rPr>
                <w:rFonts w:cs="Times New Roman"/>
                <w:sz w:val="24"/>
                <w:szCs w:val="24"/>
              </w:rPr>
            </w:pPr>
          </w:p>
        </w:tc>
        <w:tc>
          <w:tcPr>
            <w:tcW w:w="643" w:type="pct"/>
            <w:vAlign w:val="center"/>
          </w:tcPr>
          <w:p>
            <w:pPr>
              <w:spacing w:line="480" w:lineRule="exact"/>
              <w:ind w:firstLine="0" w:firstLineChars="0"/>
              <w:jc w:val="center"/>
              <w:rPr>
                <w:rFonts w:cs="Times New Roman"/>
                <w:sz w:val="24"/>
                <w:szCs w:val="24"/>
              </w:rPr>
            </w:pPr>
          </w:p>
        </w:tc>
        <w:tc>
          <w:tcPr>
            <w:tcW w:w="605"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3" w:type="pct"/>
            <w:vAlign w:val="center"/>
          </w:tcPr>
          <w:p>
            <w:pPr>
              <w:spacing w:line="480" w:lineRule="exact"/>
              <w:ind w:firstLine="0" w:firstLineChars="0"/>
              <w:jc w:val="center"/>
              <w:rPr>
                <w:rFonts w:cs="Times New Roman"/>
                <w:sz w:val="24"/>
                <w:szCs w:val="24"/>
              </w:rPr>
            </w:pPr>
            <w:r>
              <w:rPr>
                <w:rFonts w:cs="Times New Roman"/>
                <w:sz w:val="24"/>
                <w:szCs w:val="24"/>
              </w:rPr>
              <w:t>/</w:t>
            </w:r>
          </w:p>
        </w:tc>
        <w:tc>
          <w:tcPr>
            <w:tcW w:w="598" w:type="pct"/>
            <w:vAlign w:val="center"/>
          </w:tcPr>
          <w:p>
            <w:pPr>
              <w:spacing w:line="480" w:lineRule="exact"/>
              <w:ind w:firstLine="0" w:firstLineChars="0"/>
              <w:jc w:val="center"/>
              <w:rPr>
                <w:rFonts w:cs="Times New Roman"/>
                <w:sz w:val="24"/>
                <w:szCs w:val="24"/>
              </w:rPr>
            </w:pPr>
            <w:r>
              <w:rPr>
                <w:rFonts w:cs="Times New Roman"/>
                <w:sz w:val="24"/>
                <w:szCs w:val="24"/>
              </w:rPr>
              <w:t>/</w:t>
            </w:r>
          </w:p>
        </w:tc>
      </w:tr>
    </w:tbl>
    <w:p>
      <w:pPr>
        <w:ind w:firstLine="560"/>
        <w:rPr>
          <w:sz w:val="28"/>
          <w:szCs w:val="21"/>
        </w:rPr>
      </w:pPr>
      <w:bookmarkStart w:id="36" w:name="_Hlk236990572"/>
      <w:r>
        <w:rPr>
          <w:rFonts w:hint="eastAsia"/>
          <w:sz w:val="28"/>
          <w:szCs w:val="21"/>
        </w:rPr>
        <w:t>数据来源：六盘水市商务局</w:t>
      </w:r>
    </w:p>
    <w:bookmarkEnd w:id="36"/>
    <w:p>
      <w:pPr>
        <w:pStyle w:val="4"/>
        <w:ind w:firstLine="643"/>
      </w:pPr>
      <w:r>
        <w:rPr>
          <w:rFonts w:hint="eastAsia"/>
        </w:rPr>
        <w:t>5.能源站点情况</w:t>
      </w:r>
    </w:p>
    <w:p>
      <w:pPr>
        <w:ind w:firstLine="640"/>
      </w:pPr>
      <w:r>
        <w:rPr>
          <w:rFonts w:hint="eastAsia"/>
        </w:rPr>
        <w:t>2</w:t>
      </w:r>
      <w:r>
        <w:t>025</w:t>
      </w:r>
      <w:r>
        <w:rPr>
          <w:rFonts w:hint="eastAsia"/>
        </w:rPr>
        <w:t>年末，六盘水市形成以中石化、中石油为主导，多种主体并存的能源供应网络。全市在营加油站</w:t>
      </w:r>
      <w:r>
        <w:t>233</w:t>
      </w:r>
      <w:r>
        <w:rPr>
          <w:rFonts w:hint="eastAsia"/>
        </w:rPr>
        <w:t>座，其中盘州市92座、水城区52座、钟山区42座、六枝特区33座、六盘水高新区14座，实现全域覆盖，具备稳定的成品油供应保障能力。此外，全市建成加气站</w:t>
      </w:r>
      <w:r>
        <w:t>9</w:t>
      </w:r>
      <w:r>
        <w:rPr>
          <w:rFonts w:hint="eastAsia"/>
        </w:rPr>
        <w:t>座（水城区</w:t>
      </w:r>
      <w:r>
        <w:t>1</w:t>
      </w:r>
      <w:r>
        <w:rPr>
          <w:rFonts w:hint="eastAsia"/>
        </w:rPr>
        <w:t>座、盘州市</w:t>
      </w:r>
      <w:r>
        <w:t>4</w:t>
      </w:r>
      <w:r>
        <w:rPr>
          <w:rFonts w:hint="eastAsia"/>
        </w:rPr>
        <w:t>座、钟山区</w:t>
      </w:r>
      <w:r>
        <w:t>2</w:t>
      </w:r>
      <w:r>
        <w:rPr>
          <w:rFonts w:hint="eastAsia"/>
        </w:rPr>
        <w:t>座、六盘水高新区</w:t>
      </w:r>
      <w:r>
        <w:t>2</w:t>
      </w:r>
      <w:r>
        <w:rPr>
          <w:rFonts w:hint="eastAsia"/>
        </w:rPr>
        <w:t>座）、加氢站2座（盘州市1座、六枝特区</w:t>
      </w:r>
      <w:r>
        <w:t>1</w:t>
      </w:r>
      <w:r>
        <w:rPr>
          <w:rFonts w:hint="eastAsia"/>
        </w:rPr>
        <w:t>座），累计在加油/气站配套</w:t>
      </w:r>
      <w:r>
        <w:rPr>
          <w:rFonts w:hint="eastAsia"/>
          <w:lang w:eastAsia="zh-CN"/>
        </w:rPr>
        <w:t>建成</w:t>
      </w:r>
      <w:r>
        <w:rPr>
          <w:rFonts w:hint="eastAsia"/>
        </w:rPr>
        <w:t>充电站</w:t>
      </w:r>
      <w:r>
        <w:t>4</w:t>
      </w:r>
      <w:r>
        <w:rPr>
          <w:rFonts w:hint="eastAsia"/>
        </w:rPr>
        <w:t>5座，初步形成油、气、氢、电多元互补的清洁能源补给格局。</w:t>
      </w:r>
    </w:p>
    <w:p>
      <w:pPr>
        <w:widowControl/>
        <w:spacing w:line="240" w:lineRule="auto"/>
        <w:ind w:firstLine="0" w:firstLineChars="0"/>
        <w:jc w:val="left"/>
      </w:pPr>
      <w:r>
        <w:br w:type="page"/>
      </w:r>
    </w:p>
    <w:p>
      <w:pPr>
        <w:pStyle w:val="28"/>
      </w:pPr>
      <w:r>
        <w:rPr>
          <w:rFonts w:hint="eastAsia"/>
        </w:rPr>
        <w:t>2</w:t>
      </w:r>
      <w:r>
        <w:t>025</w:t>
      </w:r>
      <w:r>
        <w:rPr>
          <w:rFonts w:hint="eastAsia"/>
        </w:rPr>
        <w:t>年六盘水市各类能源站点分布情况</w:t>
      </w:r>
    </w:p>
    <w:tbl>
      <w:tblPr>
        <w:tblStyle w:val="21"/>
        <w:tblW w:w="8598" w:type="dxa"/>
        <w:jc w:val="center"/>
        <w:tblLayout w:type="fixed"/>
        <w:tblCellMar>
          <w:top w:w="0" w:type="dxa"/>
          <w:left w:w="108" w:type="dxa"/>
          <w:bottom w:w="0" w:type="dxa"/>
          <w:right w:w="108" w:type="dxa"/>
        </w:tblCellMar>
      </w:tblPr>
      <w:tblGrid>
        <w:gridCol w:w="1271"/>
        <w:gridCol w:w="1769"/>
        <w:gridCol w:w="1820"/>
        <w:gridCol w:w="1911"/>
        <w:gridCol w:w="1827"/>
      </w:tblGrid>
      <w:tr>
        <w:tblPrEx>
          <w:tblCellMar>
            <w:top w:w="0" w:type="dxa"/>
            <w:left w:w="108" w:type="dxa"/>
            <w:bottom w:w="0" w:type="dxa"/>
            <w:right w:w="108" w:type="dxa"/>
          </w:tblCellMar>
        </w:tblPrEx>
        <w:trPr>
          <w:trHeight w:val="300" w:hRule="atLeast"/>
          <w:jc w:val="center"/>
        </w:trPr>
        <w:tc>
          <w:tcPr>
            <w:tcW w:w="1271" w:type="dxa"/>
            <w:tcBorders>
              <w:top w:val="single" w:color="auto" w:sz="4" w:space="0"/>
              <w:left w:val="single" w:color="auto" w:sz="4" w:space="0"/>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地区</w:t>
            </w:r>
          </w:p>
        </w:tc>
        <w:tc>
          <w:tcPr>
            <w:tcW w:w="1769" w:type="dxa"/>
            <w:tcBorders>
              <w:top w:val="single" w:color="auto" w:sz="4" w:space="0"/>
              <w:left w:val="nil"/>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加油站（座）</w:t>
            </w:r>
          </w:p>
        </w:tc>
        <w:tc>
          <w:tcPr>
            <w:tcW w:w="1820" w:type="dxa"/>
            <w:tcBorders>
              <w:top w:val="single" w:color="auto" w:sz="4" w:space="0"/>
              <w:left w:val="nil"/>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加气站（座）</w:t>
            </w:r>
          </w:p>
        </w:tc>
        <w:tc>
          <w:tcPr>
            <w:tcW w:w="1911" w:type="dxa"/>
            <w:tcBorders>
              <w:top w:val="single" w:color="auto" w:sz="4" w:space="0"/>
              <w:left w:val="nil"/>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加氢站（座）</w:t>
            </w:r>
          </w:p>
        </w:tc>
        <w:tc>
          <w:tcPr>
            <w:tcW w:w="1827" w:type="dxa"/>
            <w:tcBorders>
              <w:top w:val="single" w:color="auto" w:sz="4" w:space="0"/>
              <w:left w:val="nil"/>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充电站（座）</w:t>
            </w:r>
          </w:p>
        </w:tc>
      </w:tr>
      <w:tr>
        <w:tblPrEx>
          <w:tblCellMar>
            <w:top w:w="0" w:type="dxa"/>
            <w:left w:w="108" w:type="dxa"/>
            <w:bottom w:w="0" w:type="dxa"/>
            <w:right w:w="108" w:type="dxa"/>
          </w:tblCellMar>
        </w:tblPrEx>
        <w:trPr>
          <w:trHeight w:val="310" w:hRule="atLeast"/>
          <w:jc w:val="center"/>
        </w:trPr>
        <w:tc>
          <w:tcPr>
            <w:tcW w:w="1271" w:type="dxa"/>
            <w:tcBorders>
              <w:top w:val="nil"/>
              <w:left w:val="single" w:color="auto" w:sz="4" w:space="0"/>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color w:val="000000"/>
                <w:kern w:val="0"/>
                <w:sz w:val="24"/>
                <w:szCs w:val="24"/>
              </w:rPr>
            </w:pPr>
            <w:r>
              <w:rPr>
                <w:rFonts w:hint="eastAsia" w:ascii="仿宋_GB2312" w:hAnsi="等线" w:cs="宋体"/>
                <w:color w:val="000000"/>
                <w:kern w:val="0"/>
                <w:sz w:val="24"/>
                <w:szCs w:val="24"/>
              </w:rPr>
              <w:t>六枝特区</w:t>
            </w:r>
          </w:p>
        </w:tc>
        <w:tc>
          <w:tcPr>
            <w:tcW w:w="1769"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3</w:t>
            </w:r>
            <w:r>
              <w:rPr>
                <w:rFonts w:hint="eastAsia" w:eastAsia="等线" w:cs="Times New Roman"/>
                <w:color w:val="000000"/>
                <w:kern w:val="0"/>
                <w:sz w:val="24"/>
                <w:szCs w:val="24"/>
              </w:rPr>
              <w:t>3</w:t>
            </w:r>
          </w:p>
        </w:tc>
        <w:tc>
          <w:tcPr>
            <w:tcW w:w="1820"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p>
        </w:tc>
        <w:tc>
          <w:tcPr>
            <w:tcW w:w="1911"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1</w:t>
            </w:r>
          </w:p>
        </w:tc>
        <w:tc>
          <w:tcPr>
            <w:tcW w:w="1827"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5</w:t>
            </w:r>
          </w:p>
        </w:tc>
      </w:tr>
      <w:tr>
        <w:tblPrEx>
          <w:tblCellMar>
            <w:top w:w="0" w:type="dxa"/>
            <w:left w:w="108" w:type="dxa"/>
            <w:bottom w:w="0" w:type="dxa"/>
            <w:right w:w="108" w:type="dxa"/>
          </w:tblCellMar>
        </w:tblPrEx>
        <w:trPr>
          <w:trHeight w:val="310" w:hRule="atLeast"/>
          <w:jc w:val="center"/>
        </w:trPr>
        <w:tc>
          <w:tcPr>
            <w:tcW w:w="1271" w:type="dxa"/>
            <w:tcBorders>
              <w:top w:val="nil"/>
              <w:left w:val="single" w:color="auto" w:sz="4" w:space="0"/>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color w:val="000000"/>
                <w:kern w:val="0"/>
                <w:sz w:val="24"/>
                <w:szCs w:val="24"/>
              </w:rPr>
            </w:pPr>
            <w:r>
              <w:rPr>
                <w:rFonts w:hint="eastAsia" w:ascii="仿宋_GB2312" w:hAnsi="等线" w:cs="宋体"/>
                <w:color w:val="000000"/>
                <w:kern w:val="0"/>
                <w:sz w:val="24"/>
                <w:szCs w:val="24"/>
              </w:rPr>
              <w:t>盘州市</w:t>
            </w:r>
          </w:p>
        </w:tc>
        <w:tc>
          <w:tcPr>
            <w:tcW w:w="1769"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92</w:t>
            </w:r>
          </w:p>
        </w:tc>
        <w:tc>
          <w:tcPr>
            <w:tcW w:w="1820"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4</w:t>
            </w:r>
          </w:p>
        </w:tc>
        <w:tc>
          <w:tcPr>
            <w:tcW w:w="1911"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1</w:t>
            </w:r>
          </w:p>
        </w:tc>
        <w:tc>
          <w:tcPr>
            <w:tcW w:w="1827"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18</w:t>
            </w:r>
          </w:p>
        </w:tc>
      </w:tr>
      <w:tr>
        <w:tblPrEx>
          <w:tblCellMar>
            <w:top w:w="0" w:type="dxa"/>
            <w:left w:w="108" w:type="dxa"/>
            <w:bottom w:w="0" w:type="dxa"/>
            <w:right w:w="108" w:type="dxa"/>
          </w:tblCellMar>
        </w:tblPrEx>
        <w:trPr>
          <w:trHeight w:val="310" w:hRule="atLeast"/>
          <w:jc w:val="center"/>
        </w:trPr>
        <w:tc>
          <w:tcPr>
            <w:tcW w:w="1271" w:type="dxa"/>
            <w:tcBorders>
              <w:top w:val="nil"/>
              <w:left w:val="single" w:color="auto" w:sz="4" w:space="0"/>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color w:val="000000"/>
                <w:kern w:val="0"/>
                <w:sz w:val="24"/>
                <w:szCs w:val="24"/>
              </w:rPr>
            </w:pPr>
            <w:r>
              <w:rPr>
                <w:rFonts w:hint="eastAsia" w:ascii="仿宋_GB2312" w:hAnsi="等线" w:cs="宋体"/>
                <w:color w:val="000000"/>
                <w:kern w:val="0"/>
                <w:sz w:val="24"/>
                <w:szCs w:val="24"/>
              </w:rPr>
              <w:t>水城区</w:t>
            </w:r>
          </w:p>
        </w:tc>
        <w:tc>
          <w:tcPr>
            <w:tcW w:w="1769"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52</w:t>
            </w:r>
          </w:p>
        </w:tc>
        <w:tc>
          <w:tcPr>
            <w:tcW w:w="1820"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1</w:t>
            </w:r>
          </w:p>
        </w:tc>
        <w:tc>
          <w:tcPr>
            <w:tcW w:w="1911"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p>
        </w:tc>
        <w:tc>
          <w:tcPr>
            <w:tcW w:w="1827"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9</w:t>
            </w:r>
          </w:p>
        </w:tc>
      </w:tr>
      <w:tr>
        <w:tblPrEx>
          <w:tblCellMar>
            <w:top w:w="0" w:type="dxa"/>
            <w:left w:w="108" w:type="dxa"/>
            <w:bottom w:w="0" w:type="dxa"/>
            <w:right w:w="108" w:type="dxa"/>
          </w:tblCellMar>
        </w:tblPrEx>
        <w:trPr>
          <w:trHeight w:val="310" w:hRule="atLeast"/>
          <w:jc w:val="center"/>
        </w:trPr>
        <w:tc>
          <w:tcPr>
            <w:tcW w:w="1271" w:type="dxa"/>
            <w:tcBorders>
              <w:top w:val="nil"/>
              <w:left w:val="single" w:color="auto" w:sz="4" w:space="0"/>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color w:val="000000"/>
                <w:kern w:val="0"/>
                <w:sz w:val="24"/>
                <w:szCs w:val="24"/>
              </w:rPr>
            </w:pPr>
            <w:r>
              <w:rPr>
                <w:rFonts w:hint="eastAsia" w:ascii="仿宋_GB2312" w:hAnsi="等线" w:cs="宋体"/>
                <w:color w:val="000000"/>
                <w:kern w:val="0"/>
                <w:sz w:val="24"/>
                <w:szCs w:val="24"/>
              </w:rPr>
              <w:t>钟山区</w:t>
            </w:r>
          </w:p>
        </w:tc>
        <w:tc>
          <w:tcPr>
            <w:tcW w:w="1769"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4</w:t>
            </w:r>
            <w:r>
              <w:rPr>
                <w:rFonts w:hint="eastAsia" w:eastAsia="等线" w:cs="Times New Roman"/>
                <w:color w:val="000000"/>
                <w:kern w:val="0"/>
                <w:sz w:val="24"/>
                <w:szCs w:val="24"/>
              </w:rPr>
              <w:t>2</w:t>
            </w:r>
          </w:p>
        </w:tc>
        <w:tc>
          <w:tcPr>
            <w:tcW w:w="1820"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1</w:t>
            </w:r>
          </w:p>
        </w:tc>
        <w:tc>
          <w:tcPr>
            <w:tcW w:w="1911"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p>
        </w:tc>
        <w:tc>
          <w:tcPr>
            <w:tcW w:w="1827"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9</w:t>
            </w:r>
          </w:p>
        </w:tc>
      </w:tr>
      <w:tr>
        <w:tblPrEx>
          <w:tblCellMar>
            <w:top w:w="0" w:type="dxa"/>
            <w:left w:w="108" w:type="dxa"/>
            <w:bottom w:w="0" w:type="dxa"/>
            <w:right w:w="108" w:type="dxa"/>
          </w:tblCellMar>
        </w:tblPrEx>
        <w:trPr>
          <w:trHeight w:val="310" w:hRule="atLeast"/>
          <w:jc w:val="center"/>
        </w:trPr>
        <w:tc>
          <w:tcPr>
            <w:tcW w:w="1271" w:type="dxa"/>
            <w:tcBorders>
              <w:top w:val="nil"/>
              <w:left w:val="single" w:color="auto" w:sz="4" w:space="0"/>
              <w:bottom w:val="single" w:color="auto" w:sz="4" w:space="0"/>
              <w:right w:val="single" w:color="auto" w:sz="4" w:space="0"/>
            </w:tcBorders>
            <w:vAlign w:val="center"/>
          </w:tcPr>
          <w:p>
            <w:pPr>
              <w:widowControl/>
              <w:spacing w:line="480" w:lineRule="exact"/>
              <w:ind w:firstLine="0" w:firstLineChars="0"/>
              <w:jc w:val="center"/>
              <w:rPr>
                <w:rFonts w:hint="eastAsia" w:ascii="仿宋_GB2312" w:hAnsi="等线" w:cs="宋体"/>
                <w:color w:val="000000"/>
                <w:kern w:val="0"/>
                <w:sz w:val="24"/>
                <w:szCs w:val="24"/>
              </w:rPr>
            </w:pPr>
            <w:r>
              <w:rPr>
                <w:rFonts w:hint="eastAsia" w:ascii="仿宋_GB2312" w:hAnsi="等线" w:cs="宋体"/>
                <w:color w:val="000000"/>
                <w:kern w:val="0"/>
                <w:sz w:val="24"/>
                <w:szCs w:val="24"/>
              </w:rPr>
              <w:t>高新区</w:t>
            </w:r>
          </w:p>
        </w:tc>
        <w:tc>
          <w:tcPr>
            <w:tcW w:w="1769"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14</w:t>
            </w:r>
          </w:p>
        </w:tc>
        <w:tc>
          <w:tcPr>
            <w:tcW w:w="1820"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2</w:t>
            </w:r>
          </w:p>
        </w:tc>
        <w:tc>
          <w:tcPr>
            <w:tcW w:w="1911"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p>
        </w:tc>
        <w:tc>
          <w:tcPr>
            <w:tcW w:w="1827"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color w:val="000000"/>
                <w:kern w:val="0"/>
                <w:sz w:val="24"/>
                <w:szCs w:val="24"/>
              </w:rPr>
            </w:pPr>
            <w:r>
              <w:rPr>
                <w:rFonts w:eastAsia="等线" w:cs="Times New Roman"/>
                <w:color w:val="000000"/>
                <w:kern w:val="0"/>
                <w:sz w:val="24"/>
                <w:szCs w:val="24"/>
              </w:rPr>
              <w:t>4</w:t>
            </w:r>
          </w:p>
        </w:tc>
      </w:tr>
      <w:tr>
        <w:tblPrEx>
          <w:tblCellMar>
            <w:top w:w="0" w:type="dxa"/>
            <w:left w:w="108" w:type="dxa"/>
            <w:bottom w:w="0" w:type="dxa"/>
            <w:right w:w="108" w:type="dxa"/>
          </w:tblCellMar>
        </w:tblPrEx>
        <w:trPr>
          <w:trHeight w:val="300" w:hRule="atLeast"/>
          <w:jc w:val="center"/>
        </w:trPr>
        <w:tc>
          <w:tcPr>
            <w:tcW w:w="1271" w:type="dxa"/>
            <w:tcBorders>
              <w:top w:val="nil"/>
              <w:left w:val="single" w:color="auto" w:sz="4" w:space="0"/>
              <w:bottom w:val="single" w:color="auto" w:sz="4" w:space="0"/>
              <w:right w:val="single" w:color="auto" w:sz="4" w:space="0"/>
            </w:tcBorders>
            <w:noWrap/>
            <w:vAlign w:val="center"/>
          </w:tcPr>
          <w:p>
            <w:pPr>
              <w:widowControl/>
              <w:spacing w:line="48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合计</w:t>
            </w:r>
          </w:p>
        </w:tc>
        <w:tc>
          <w:tcPr>
            <w:tcW w:w="1769"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hint="eastAsia" w:eastAsia="等线" w:cs="Times New Roman"/>
                <w:b/>
                <w:bCs/>
                <w:color w:val="000000"/>
                <w:kern w:val="0"/>
                <w:sz w:val="24"/>
                <w:szCs w:val="24"/>
                <w:lang w:val="en-US" w:eastAsia="zh-CN"/>
              </w:rPr>
            </w:pPr>
            <w:r>
              <w:rPr>
                <w:rFonts w:eastAsia="等线" w:cs="Times New Roman"/>
                <w:b/>
                <w:bCs/>
                <w:color w:val="000000"/>
                <w:kern w:val="0"/>
                <w:sz w:val="24"/>
                <w:szCs w:val="24"/>
              </w:rPr>
              <w:t>23</w:t>
            </w:r>
            <w:r>
              <w:rPr>
                <w:rFonts w:hint="eastAsia" w:eastAsia="等线" w:cs="Times New Roman"/>
                <w:b/>
                <w:bCs/>
                <w:color w:val="000000"/>
                <w:kern w:val="0"/>
                <w:sz w:val="24"/>
                <w:szCs w:val="24"/>
                <w:lang w:val="en-US" w:eastAsia="zh-CN"/>
              </w:rPr>
              <w:t>3</w:t>
            </w:r>
          </w:p>
        </w:tc>
        <w:tc>
          <w:tcPr>
            <w:tcW w:w="1820"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b/>
                <w:bCs/>
                <w:color w:val="000000"/>
                <w:kern w:val="0"/>
                <w:sz w:val="24"/>
                <w:szCs w:val="24"/>
              </w:rPr>
            </w:pPr>
            <w:r>
              <w:rPr>
                <w:rFonts w:eastAsia="等线" w:cs="Times New Roman"/>
                <w:b/>
                <w:bCs/>
                <w:color w:val="000000"/>
                <w:kern w:val="0"/>
                <w:sz w:val="24"/>
                <w:szCs w:val="24"/>
              </w:rPr>
              <w:t>9</w:t>
            </w:r>
          </w:p>
        </w:tc>
        <w:tc>
          <w:tcPr>
            <w:tcW w:w="1911"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b/>
                <w:bCs/>
                <w:color w:val="000000"/>
                <w:kern w:val="0"/>
                <w:sz w:val="24"/>
                <w:szCs w:val="24"/>
              </w:rPr>
            </w:pPr>
            <w:r>
              <w:rPr>
                <w:rFonts w:eastAsia="等线" w:cs="Times New Roman"/>
                <w:b/>
                <w:bCs/>
                <w:color w:val="000000"/>
                <w:kern w:val="0"/>
                <w:sz w:val="24"/>
                <w:szCs w:val="24"/>
              </w:rPr>
              <w:t>2</w:t>
            </w:r>
          </w:p>
        </w:tc>
        <w:tc>
          <w:tcPr>
            <w:tcW w:w="1827" w:type="dxa"/>
            <w:tcBorders>
              <w:top w:val="nil"/>
              <w:left w:val="nil"/>
              <w:bottom w:val="single" w:color="auto" w:sz="4" w:space="0"/>
              <w:right w:val="single" w:color="auto" w:sz="4" w:space="0"/>
            </w:tcBorders>
            <w:noWrap/>
            <w:vAlign w:val="center"/>
          </w:tcPr>
          <w:p>
            <w:pPr>
              <w:widowControl/>
              <w:spacing w:line="480" w:lineRule="exact"/>
              <w:ind w:firstLine="0" w:firstLineChars="0"/>
              <w:jc w:val="center"/>
              <w:rPr>
                <w:rFonts w:eastAsia="等线" w:cs="Times New Roman"/>
                <w:b/>
                <w:bCs/>
                <w:color w:val="000000"/>
                <w:kern w:val="0"/>
                <w:sz w:val="24"/>
                <w:szCs w:val="24"/>
              </w:rPr>
            </w:pPr>
            <w:r>
              <w:rPr>
                <w:rFonts w:eastAsia="等线" w:cs="Times New Roman"/>
                <w:b/>
                <w:bCs/>
                <w:color w:val="000000"/>
                <w:kern w:val="0"/>
                <w:sz w:val="24"/>
                <w:szCs w:val="24"/>
              </w:rPr>
              <w:t>45</w:t>
            </w:r>
          </w:p>
        </w:tc>
      </w:tr>
    </w:tbl>
    <w:p>
      <w:pPr>
        <w:ind w:firstLine="560"/>
        <w:rPr>
          <w:sz w:val="28"/>
          <w:szCs w:val="21"/>
        </w:rPr>
      </w:pPr>
      <w:bookmarkStart w:id="37" w:name="_Toc31999"/>
      <w:bookmarkStart w:id="38" w:name="_Toc228174638"/>
      <w:bookmarkStart w:id="39" w:name="_Toc23615"/>
      <w:bookmarkStart w:id="40" w:name="_Toc574"/>
      <w:r>
        <w:rPr>
          <w:rFonts w:hint="eastAsia"/>
          <w:sz w:val="28"/>
          <w:szCs w:val="21"/>
        </w:rPr>
        <w:t>数据来源：六盘水市商务局</w:t>
      </w:r>
    </w:p>
    <w:p>
      <w:pPr>
        <w:pStyle w:val="3"/>
      </w:pPr>
      <w:bookmarkStart w:id="41" w:name="_Toc237424173"/>
      <w:r>
        <w:rPr>
          <w:rFonts w:hint="eastAsia"/>
        </w:rPr>
        <w:t>（二）</w:t>
      </w:r>
      <w:r>
        <w:rPr>
          <w:rFonts w:hint="eastAsia" w:asciiTheme="majorHAnsi" w:hAnsiTheme="majorHAnsi"/>
        </w:rPr>
        <w:t>存在</w:t>
      </w:r>
      <w:r>
        <w:rPr>
          <w:rFonts w:hint="eastAsia"/>
        </w:rPr>
        <w:t>问题</w:t>
      </w:r>
      <w:bookmarkEnd w:id="37"/>
      <w:bookmarkEnd w:id="38"/>
      <w:bookmarkEnd w:id="39"/>
      <w:bookmarkEnd w:id="40"/>
      <w:bookmarkEnd w:id="41"/>
    </w:p>
    <w:p>
      <w:pPr>
        <w:ind w:firstLine="640"/>
      </w:pPr>
      <w:r>
        <w:rPr>
          <w:rFonts w:hint="eastAsia"/>
        </w:rPr>
        <w:t>在</w:t>
      </w:r>
      <w:r>
        <w:rPr>
          <w:rFonts w:hint="eastAsia"/>
          <w:lang w:eastAsia="zh-CN"/>
        </w:rPr>
        <w:t>“</w:t>
      </w:r>
      <w:r>
        <w:rPr>
          <w:rFonts w:hint="eastAsia"/>
        </w:rPr>
        <w:t>十四五</w:t>
      </w:r>
      <w:r>
        <w:rPr>
          <w:rFonts w:hint="eastAsia"/>
          <w:lang w:eastAsia="zh-CN"/>
        </w:rPr>
        <w:t>”</w:t>
      </w:r>
      <w:r>
        <w:rPr>
          <w:rFonts w:hint="eastAsia"/>
        </w:rPr>
        <w:t>发展基础上，六盘水市加油、加气、加氢、充电设施体系虽已初步成型，但对标高质量发展要求和能源结构加速转型的新形势，仍面临一些亟待破解的突出问题。</w:t>
      </w:r>
    </w:p>
    <w:p>
      <w:pPr>
        <w:ind w:firstLine="643"/>
      </w:pPr>
      <w:r>
        <w:rPr>
          <w:rFonts w:hint="eastAsia"/>
          <w:b/>
          <w:bCs/>
        </w:rPr>
        <w:t>网点布局适配性不足，供需空间匹配度待提升。</w:t>
      </w:r>
      <w:r>
        <w:rPr>
          <w:rFonts w:hint="eastAsia"/>
        </w:rPr>
        <w:t>随着高速出入口、高铁站集疏运道路、重点景区连接线等流量密集区域加快建成，配套加油站点未能同步规划建设，服务覆盖存在结构性盲区，影响出行便利度与物流效率。中心城区及国省道沿线部分站点密度偏高，服务半径重叠，导致资源利用效率偏低，与集约化发展要求存在差距。受乌蒙山区地形条件制约，偏远乡镇、农业产业园、乡村旅游示范点等区域站点覆盖率不足，难以充分支撑乡村振兴战略实施、山地旅游发展及工矿物流增长带来的用油增量需求。</w:t>
      </w:r>
    </w:p>
    <w:p>
      <w:pPr>
        <w:ind w:firstLine="643"/>
      </w:pPr>
      <w:r>
        <w:rPr>
          <w:rFonts w:hint="eastAsia"/>
          <w:b/>
          <w:bCs/>
        </w:rPr>
        <w:t>运营管理效能偏弱，数智化转型进程滞后。</w:t>
      </w:r>
      <w:r>
        <w:rPr>
          <w:rFonts w:hint="eastAsia"/>
        </w:rPr>
        <w:t>部分民营站点安全环保投入不足，油气回收、防渗改造等环保设施存在老化失修情况，站容站貌维护不到位，油品质量管控、安全管理和服务规范化水平参差不齐，与行业高质量发展标准存在差距。行业整体数字化应用程度偏低，智能支付、在线监管、智慧巡检等现代化管理手段普及率不高，仍以传统人工记账、现场巡检为主，精细化管理能力不足，难以适应成品油流通高质量发展和现代化监管的新要求。</w:t>
      </w:r>
    </w:p>
    <w:p>
      <w:pPr>
        <w:ind w:firstLine="643"/>
      </w:pPr>
      <w:r>
        <w:rPr>
          <w:rFonts w:hint="eastAsia"/>
          <w:b/>
          <w:bCs/>
        </w:rPr>
        <w:t>规划落地效率不高，要素保障机制待完善。</w:t>
      </w:r>
      <w:r>
        <w:rPr>
          <w:rFonts w:hint="eastAsia"/>
        </w:rPr>
        <w:t>受山地地形等刚性约束，符合安全防护距离和建设规范的加油站用地供给紧张，规划选址落实难度较大，影响设施网络优化布局。新建加油站项目涉及商务、自然资源、住建、应急、生态环境、气象防雷等多个部门审批，环节多、链条长，跨部门协同联动机制尚不完善，审批效率有待提升，一定程度上制约了设施建设进度与规划落地成效。</w:t>
      </w:r>
    </w:p>
    <w:p>
      <w:pPr>
        <w:ind w:firstLine="643"/>
      </w:pPr>
      <w:r>
        <w:rPr>
          <w:rFonts w:hint="eastAsia"/>
          <w:b/>
          <w:bCs/>
        </w:rPr>
        <w:t>市场治理效能待提升，绿色转型步伐需加快。</w:t>
      </w:r>
      <w:r>
        <w:rPr>
          <w:rFonts w:hint="eastAsia"/>
        </w:rPr>
        <w:t>成品油流通领域监管涉及多部门，跨部门信息共享、联合巡查、联合执法的常态化机制尚不健全，对无证经营、流动加油车、非标油品、计量作弊、偷逃税收等违法违规行为的精准打击和长效管控能力仍需强化。在新能源汽车渗透率快速提升、能源结构加速向绿色低碳转型的背景下，全市传统加油站向综合能源站转型步伐偏慢，充电、加氢等多元服务布局滞后，仅少数站点探索尝试，难以适应</w:t>
      </w:r>
      <w:r>
        <w:rPr>
          <w:rFonts w:hint="eastAsia"/>
          <w:lang w:eastAsia="zh-CN"/>
        </w:rPr>
        <w:t>“</w:t>
      </w:r>
      <w:r>
        <w:rPr>
          <w:rFonts w:hint="eastAsia"/>
        </w:rPr>
        <w:t>双碳</w:t>
      </w:r>
      <w:r>
        <w:rPr>
          <w:rFonts w:hint="eastAsia"/>
          <w:lang w:eastAsia="zh-CN"/>
        </w:rPr>
        <w:t>”</w:t>
      </w:r>
      <w:r>
        <w:rPr>
          <w:rFonts w:hint="eastAsia"/>
        </w:rPr>
        <w:t>目标下新型能源体系建设的现实需要。</w:t>
      </w:r>
    </w:p>
    <w:p>
      <w:pPr>
        <w:pStyle w:val="3"/>
      </w:pPr>
      <w:bookmarkStart w:id="42" w:name="_Toc19596"/>
      <w:bookmarkStart w:id="43" w:name="_Toc237424174"/>
      <w:bookmarkStart w:id="44" w:name="_Toc31703"/>
      <w:bookmarkStart w:id="45" w:name="_Toc228174639"/>
      <w:bookmarkStart w:id="46" w:name="_Toc15762"/>
      <w:r>
        <w:rPr>
          <w:rFonts w:hint="eastAsia"/>
        </w:rPr>
        <w:t>（三）形势分析</w:t>
      </w:r>
      <w:bookmarkEnd w:id="42"/>
      <w:bookmarkEnd w:id="43"/>
      <w:bookmarkEnd w:id="44"/>
      <w:bookmarkEnd w:id="45"/>
      <w:bookmarkEnd w:id="46"/>
    </w:p>
    <w:p>
      <w:pPr>
        <w:ind w:firstLine="640"/>
      </w:pPr>
      <w:bookmarkStart w:id="47" w:name="OLE_LINK2"/>
      <w:r>
        <w:rPr>
          <w:rFonts w:hint="eastAsia"/>
          <w:lang w:eastAsia="zh-CN"/>
        </w:rPr>
        <w:t>“</w:t>
      </w:r>
      <w:r>
        <w:rPr>
          <w:rFonts w:hint="eastAsia"/>
        </w:rPr>
        <w:t>十五五</w:t>
      </w:r>
      <w:r>
        <w:rPr>
          <w:rFonts w:hint="eastAsia"/>
          <w:lang w:eastAsia="zh-CN"/>
        </w:rPr>
        <w:t>”</w:t>
      </w:r>
      <w:r>
        <w:rPr>
          <w:rFonts w:hint="eastAsia"/>
        </w:rPr>
        <w:t>时期，六盘水市成品油零售分销体系置身于复杂多变的内外部环境之中，面临着诸多全新的机遇与严峻挑战，亟须深度剖析形势，精准谋划发展路径。</w:t>
      </w:r>
    </w:p>
    <w:p>
      <w:pPr>
        <w:ind w:firstLine="643"/>
      </w:pPr>
      <w:r>
        <w:rPr>
          <w:rFonts w:hint="eastAsia"/>
          <w:b/>
          <w:bCs/>
        </w:rPr>
        <w:t>从政策导向来看，</w:t>
      </w:r>
      <w:r>
        <w:rPr>
          <w:rFonts w:hint="eastAsia"/>
        </w:rPr>
        <w:t>国家、省、市三级政策协同发力，为六盘水市成品油零售分销体系明确了转型路径与支持框架。国家层面持续深化能源革命，坚持稳油增气、多能互补原则，出台配套扶持政策引导存量站点拓展加氢、充电、便民非油等多元业态，并加大西部干线物流、能源配套基础设施投入。贵州省积极落实</w:t>
      </w:r>
      <w:r>
        <w:rPr>
          <w:rFonts w:hint="eastAsia"/>
          <w:lang w:eastAsia="zh-CN"/>
        </w:rPr>
        <w:t>“</w:t>
      </w:r>
      <w:r>
        <w:rPr>
          <w:rFonts w:hint="eastAsia"/>
        </w:rPr>
        <w:t>双碳</w:t>
      </w:r>
      <w:r>
        <w:rPr>
          <w:rFonts w:hint="eastAsia"/>
          <w:lang w:eastAsia="zh-CN"/>
        </w:rPr>
        <w:t>”</w:t>
      </w:r>
      <w:r>
        <w:rPr>
          <w:rFonts w:hint="eastAsia"/>
        </w:rPr>
        <w:t>目标，推进交通用能绿色低碳转型，强化对综合能源站建设的用地、审批等支持。六盘水市作为贵州省氢能产业发展的先行区和核心节点城市，已被纳入全省</w:t>
      </w:r>
      <w:r>
        <w:rPr>
          <w:rFonts w:hint="eastAsia"/>
          <w:lang w:eastAsia="zh-CN"/>
        </w:rPr>
        <w:t>“</w:t>
      </w:r>
      <w:r>
        <w:rPr>
          <w:rFonts w:hint="eastAsia"/>
        </w:rPr>
        <w:t>贵阳—安顺—六盘水</w:t>
      </w:r>
      <w:r>
        <w:rPr>
          <w:rFonts w:hint="eastAsia"/>
          <w:lang w:eastAsia="zh-CN"/>
        </w:rPr>
        <w:t>”</w:t>
      </w:r>
      <w:r>
        <w:rPr>
          <w:rFonts w:hint="eastAsia"/>
        </w:rPr>
        <w:t>氢能产业核心轴，承担着打造全省氢能示范的重要使命。总体看，三重政策叠加形成利好窗口期，成品油消费虽趋缓，但行业结构优化、多能融合、集约化发展的政策红利充足，为本地成品油零售网络提质升级提供了清晰路径。</w:t>
      </w:r>
    </w:p>
    <w:p>
      <w:pPr>
        <w:ind w:firstLine="640"/>
      </w:pPr>
      <w:r>
        <w:rPr>
          <w:rFonts w:hint="eastAsia"/>
        </w:rPr>
        <w:t>根据《省商务厅关于做好成品油（气）分销体系</w:t>
      </w:r>
      <w:r>
        <w:rPr>
          <w:rFonts w:hint="eastAsia"/>
          <w:lang w:eastAsia="zh-CN"/>
        </w:rPr>
        <w:t>“</w:t>
      </w:r>
      <w:r>
        <w:rPr>
          <w:rFonts w:hint="eastAsia"/>
        </w:rPr>
        <w:t>十五五</w:t>
      </w:r>
      <w:r>
        <w:rPr>
          <w:rFonts w:hint="eastAsia"/>
          <w:lang w:eastAsia="zh-CN"/>
        </w:rPr>
        <w:t>”</w:t>
      </w:r>
      <w:r>
        <w:rPr>
          <w:rFonts w:hint="eastAsia"/>
        </w:rPr>
        <w:t>发展规划编制工作的通知》（黔商发〔2025〕20号）要求，规划期内原则上不新增零售网点。原已批准未建的站点布点资格，不再自动顺延至本规划期；确需继续建设的，须按本规划新增指标重新申报核准。核心导向已从</w:t>
      </w:r>
      <w:r>
        <w:rPr>
          <w:rFonts w:hint="eastAsia"/>
          <w:lang w:eastAsia="zh-CN"/>
        </w:rPr>
        <w:t>“</w:t>
      </w:r>
      <w:r>
        <w:rPr>
          <w:rFonts w:hint="eastAsia"/>
        </w:rPr>
        <w:t>增量扩张</w:t>
      </w:r>
      <w:r>
        <w:rPr>
          <w:rFonts w:hint="eastAsia"/>
          <w:lang w:eastAsia="zh-CN"/>
        </w:rPr>
        <w:t>”</w:t>
      </w:r>
      <w:r>
        <w:rPr>
          <w:rFonts w:hint="eastAsia"/>
        </w:rPr>
        <w:t>转向</w:t>
      </w:r>
      <w:r>
        <w:rPr>
          <w:rFonts w:hint="eastAsia"/>
          <w:lang w:eastAsia="zh-CN"/>
        </w:rPr>
        <w:t>“</w:t>
      </w:r>
      <w:r>
        <w:rPr>
          <w:rFonts w:hint="eastAsia"/>
        </w:rPr>
        <w:t>存量优化</w:t>
      </w:r>
      <w:r>
        <w:rPr>
          <w:rFonts w:hint="eastAsia"/>
          <w:lang w:eastAsia="zh-CN"/>
        </w:rPr>
        <w:t>”</w:t>
      </w:r>
      <w:r>
        <w:rPr>
          <w:rFonts w:hint="eastAsia"/>
        </w:rPr>
        <w:t>。</w:t>
      </w:r>
    </w:p>
    <w:p>
      <w:pPr>
        <w:ind w:firstLine="643"/>
      </w:pPr>
      <w:r>
        <w:rPr>
          <w:rFonts w:hint="eastAsia"/>
          <w:b/>
          <w:bCs/>
        </w:rPr>
        <w:t>从区域发展和战略导向来看，</w:t>
      </w:r>
      <w:r>
        <w:rPr>
          <w:rFonts w:hint="eastAsia"/>
        </w:rPr>
        <w:t>六盘水依托贵州西部重要增长极、西南核心能源原材料基地的区位优势，叠加多重区域战略赋能，有力支撑成品油零售网络提质扩容。新时代西部大开发系列政策深入实施，市域交通枢纽、能源保供基地功能持续强化。市域新型城镇化、三地同城化加快推进，产业园区、物流枢纽、文旅节点连片布局，人流、车流、物流稳步增长，夯实成品油刚性消费基础。依托副产氢资源优势和运输市场优势，全市加快多能协同保供布局；</w:t>
      </w:r>
      <w:r>
        <w:rPr>
          <w:rFonts w:hint="eastAsia"/>
          <w:lang w:eastAsia="zh-CN"/>
        </w:rPr>
        <w:t>“</w:t>
      </w:r>
      <w:r>
        <w:rPr>
          <w:rFonts w:hint="eastAsia"/>
        </w:rPr>
        <w:t>中国凉都</w:t>
      </w:r>
      <w:r>
        <w:rPr>
          <w:rFonts w:hint="eastAsia"/>
          <w:lang w:eastAsia="zh-CN"/>
        </w:rPr>
        <w:t>”</w:t>
      </w:r>
      <w:r>
        <w:rPr>
          <w:rFonts w:hint="eastAsia"/>
        </w:rPr>
        <w:t>文旅品牌持续提升，外来旅游车辆稳定增长，释放成品油增长潜力。局部传统产业转型及周边区域同业竞争带来小幅需求波动，但整体战略红利充足，业态拓展的窗口期优势明显。</w:t>
      </w:r>
    </w:p>
    <w:p>
      <w:pPr>
        <w:ind w:firstLine="643"/>
      </w:pPr>
      <w:r>
        <w:rPr>
          <w:rFonts w:hint="eastAsia"/>
          <w:b/>
          <w:bCs/>
        </w:rPr>
        <w:t>从市场需求来看，</w:t>
      </w:r>
      <w:r>
        <w:rPr>
          <w:rFonts w:hint="eastAsia"/>
        </w:rPr>
        <w:t>国内成品油消费已告别总量快速扩张阶段，全面进入结构优化调整期，整体市场需求呈逐步放缓衰减态势。依托本地资源型城市产业根基，工业生产、工程建设、物流运输等传统用油领域，用能需求正加速向氢能及新能源转型，成品油市场基本面加速分化演进。相较于东部发达地区，西南腹地工业化、城镇化仍处在稳步推进进程，区域成品油需求回落节奏有所加快，但重点领域刚性用油保障支撑依然稳固。作为西南大宗能源物资重要集散节点，干线公路货运保持高位运行，柴油传统消费支柱作用逐步弱化，新能源替代趋势明显；随着城乡路网持续完善、居民收入稳步增长，私家车保有量逐年攀升，但受新能源汽车渗透率快速提升影响，民用汽油消费增量空间持续收窄；各类产业园区、物流枢纽集中投运，规模化通勤及货运衍生用油需求保持稳定释放。与此同时，新能源汽车规模化普及、氢能货运示范场景加快落地，对传统成品油消费形成持续替代，市场需求下行压力不断加大，油氢互补的多元用能格局初步形成。短期内成品油仍将维持能源消费主体地位，但存量市场规模的稳定性和支撑韧性将逐步弱化。</w:t>
      </w:r>
    </w:p>
    <w:p>
      <w:pPr>
        <w:ind w:firstLine="643"/>
      </w:pPr>
      <w:r>
        <w:rPr>
          <w:rFonts w:hint="eastAsia"/>
          <w:b/>
          <w:bCs/>
        </w:rPr>
        <w:t>从消费结构来看，</w:t>
      </w:r>
      <w:r>
        <w:rPr>
          <w:rFonts w:hint="eastAsia"/>
        </w:rPr>
        <w:t>交通终端用能加速向绿色低碳转型，多元融合发展为行业带来结构性转型机遇。传统单一油品消费模式加快迭代，油、电、氢、气协同供给的用能体系初步构建，能源消费变革呈现</w:t>
      </w:r>
      <w:r>
        <w:rPr>
          <w:rFonts w:hint="eastAsia"/>
          <w:lang w:eastAsia="zh-CN"/>
        </w:rPr>
        <w:t>“</w:t>
      </w:r>
      <w:r>
        <w:rPr>
          <w:rFonts w:hint="eastAsia"/>
        </w:rPr>
        <w:t>业态升级为主、单向替代为辅</w:t>
      </w:r>
      <w:r>
        <w:rPr>
          <w:rFonts w:hint="eastAsia"/>
          <w:lang w:eastAsia="zh-CN"/>
        </w:rPr>
        <w:t>”</w:t>
      </w:r>
      <w:r>
        <w:rPr>
          <w:rFonts w:hint="eastAsia"/>
        </w:rPr>
        <w:t>的总体特征。全市充电基础设施覆盖持续完善，氢能全链条布局加快推进，为站点综合能源转型提供先行先试支撑。煤炭清洁高效利用、火电灵活性改造等低碳举措协同发力，进一步丰富清洁能源供给品类。全市加油站凭借区位、网络、土地等核心优势，正有序向加油、充电、加氢、供气一体化综合能源站转型。但同时，部分站点设施陈旧、功能单一、投入能力不足，转型适配性不强，成为行业提质升级的主要制约。总体来看，用能结构深度变革将长期驱动行业向综合能源服务转型，为经济社会高质量发展注入持久动力。</w:t>
      </w:r>
    </w:p>
    <w:bookmarkEnd w:id="47"/>
    <w:p>
      <w:pPr>
        <w:pStyle w:val="2"/>
      </w:pPr>
      <w:bookmarkStart w:id="48" w:name="_Toc21663"/>
      <w:bookmarkStart w:id="49" w:name="_Toc17491"/>
      <w:bookmarkStart w:id="50" w:name="_Toc19463"/>
      <w:bookmarkStart w:id="51" w:name="_Toc237424175"/>
      <w:bookmarkStart w:id="52" w:name="_Toc228174640"/>
      <w:r>
        <w:rPr>
          <w:rFonts w:hint="eastAsia"/>
        </w:rPr>
        <w:t>三、行业发展趋势预测</w:t>
      </w:r>
      <w:bookmarkEnd w:id="48"/>
      <w:bookmarkEnd w:id="49"/>
      <w:bookmarkEnd w:id="50"/>
      <w:bookmarkEnd w:id="51"/>
      <w:bookmarkEnd w:id="52"/>
    </w:p>
    <w:p>
      <w:pPr>
        <w:pStyle w:val="3"/>
      </w:pPr>
      <w:bookmarkStart w:id="53" w:name="_Toc237424176"/>
      <w:bookmarkStart w:id="54" w:name="_Toc4630"/>
      <w:bookmarkStart w:id="55" w:name="_Toc23903"/>
      <w:bookmarkStart w:id="56" w:name="_Toc228174641"/>
      <w:bookmarkStart w:id="57" w:name="_Toc28610"/>
      <w:r>
        <w:rPr>
          <w:rFonts w:hint="eastAsia"/>
        </w:rPr>
        <w:t>（一）经济社会发展趋势</w:t>
      </w:r>
      <w:bookmarkEnd w:id="53"/>
      <w:bookmarkEnd w:id="54"/>
      <w:bookmarkEnd w:id="55"/>
      <w:bookmarkEnd w:id="56"/>
      <w:bookmarkEnd w:id="57"/>
    </w:p>
    <w:p>
      <w:pPr>
        <w:ind w:firstLine="640"/>
      </w:pPr>
      <w:r>
        <w:rPr>
          <w:rFonts w:hint="eastAsia"/>
          <w:lang w:eastAsia="zh-CN"/>
        </w:rPr>
        <w:t>“</w:t>
      </w:r>
      <w:r>
        <w:rPr>
          <w:rFonts w:hint="eastAsia"/>
        </w:rPr>
        <w:t>十五五</w:t>
      </w:r>
      <w:r>
        <w:rPr>
          <w:rFonts w:hint="eastAsia"/>
          <w:lang w:eastAsia="zh-CN"/>
        </w:rPr>
        <w:t>”</w:t>
      </w:r>
      <w:r>
        <w:rPr>
          <w:rFonts w:hint="eastAsia"/>
        </w:rPr>
        <w:t>时期在基本实现社会主义现代化进程中具有承前启后的重要地位，</w:t>
      </w:r>
      <w:r>
        <w:t>是基本实现社会主义现代化夯实基础、全面发力的关键时期。</w:t>
      </w:r>
      <w:r>
        <w:rPr>
          <w:rFonts w:hint="eastAsia"/>
        </w:rPr>
        <w:t>期间，全市将</w:t>
      </w:r>
      <w:r>
        <w:t>围绕</w:t>
      </w:r>
      <w:r>
        <w:rPr>
          <w:rFonts w:hint="eastAsia"/>
          <w:lang w:eastAsia="zh-CN"/>
        </w:rPr>
        <w:t>“</w:t>
      </w:r>
      <w:r>
        <w:t>四新</w:t>
      </w:r>
      <w:r>
        <w:rPr>
          <w:rFonts w:hint="eastAsia"/>
          <w:lang w:eastAsia="zh-CN"/>
        </w:rPr>
        <w:t>”</w:t>
      </w:r>
      <w:r>
        <w:t>主攻</w:t>
      </w:r>
      <w:r>
        <w:rPr>
          <w:rFonts w:hint="eastAsia"/>
          <w:lang w:eastAsia="zh-CN"/>
        </w:rPr>
        <w:t>“</w:t>
      </w:r>
      <w:r>
        <w:t>四化</w:t>
      </w:r>
      <w:r>
        <w:rPr>
          <w:rFonts w:hint="eastAsia"/>
          <w:lang w:eastAsia="zh-CN"/>
        </w:rPr>
        <w:t>”</w:t>
      </w:r>
      <w:r>
        <w:t>、落细落实</w:t>
      </w:r>
      <w:r>
        <w:rPr>
          <w:rFonts w:hint="eastAsia"/>
          <w:lang w:eastAsia="zh-CN"/>
        </w:rPr>
        <w:t>“</w:t>
      </w:r>
      <w:r>
        <w:t>1+3</w:t>
      </w:r>
      <w:r>
        <w:rPr>
          <w:rFonts w:hint="eastAsia"/>
          <w:lang w:eastAsia="zh-CN"/>
        </w:rPr>
        <w:t>”</w:t>
      </w:r>
      <w:r>
        <w:t>重点工作，持续擦亮</w:t>
      </w:r>
      <w:r>
        <w:rPr>
          <w:rFonts w:hint="eastAsia"/>
          <w:lang w:eastAsia="zh-CN"/>
        </w:rPr>
        <w:t>“</w:t>
      </w:r>
      <w:r>
        <w:t>三都</w:t>
      </w:r>
      <w:r>
        <w:rPr>
          <w:rFonts w:hint="eastAsia"/>
          <w:lang w:eastAsia="zh-CN"/>
        </w:rPr>
        <w:t>”</w:t>
      </w:r>
      <w:r>
        <w:t>名片、加快凝聚</w:t>
      </w:r>
      <w:r>
        <w:rPr>
          <w:rFonts w:hint="eastAsia"/>
          <w:lang w:eastAsia="zh-CN"/>
        </w:rPr>
        <w:t>“</w:t>
      </w:r>
      <w:r>
        <w:t>三气</w:t>
      </w:r>
      <w:r>
        <w:rPr>
          <w:rFonts w:hint="eastAsia"/>
          <w:lang w:eastAsia="zh-CN"/>
        </w:rPr>
        <w:t>”</w:t>
      </w:r>
      <w:r>
        <w:t>发展、坚定走好</w:t>
      </w:r>
      <w:r>
        <w:rPr>
          <w:rFonts w:hint="eastAsia"/>
          <w:lang w:eastAsia="zh-CN"/>
        </w:rPr>
        <w:t>“</w:t>
      </w:r>
      <w:r>
        <w:t>三条路子</w:t>
      </w:r>
      <w:r>
        <w:rPr>
          <w:rFonts w:hint="eastAsia"/>
          <w:lang w:eastAsia="zh-CN"/>
        </w:rPr>
        <w:t>”</w:t>
      </w:r>
      <w:r>
        <w:t>，推动经济实现质的有效提升和量的合理增长</w:t>
      </w:r>
      <w:r>
        <w:rPr>
          <w:rFonts w:hint="eastAsia"/>
        </w:rPr>
        <w:t>，预计到2030年地区生产总值年均增速保持在5.5%左右，人均地区生产总值将达到80000元以上，工业增加值占地区生产总值比重达到40%左右，能源综合生产能力达到7000万吨/标准煤左右；全市城镇化进程不断加速，常住人口城镇化率将提升5个百分点、达到58%左右。城镇规模的扩大、人口的集聚，促使城市交通流量大幅增加，居民出行以及城市配送等领域对车用能源的需求呈现出持续上升趋势。此外，随着居民生活水平的提升，汽车保有量也将持续增长。</w:t>
      </w:r>
    </w:p>
    <w:p>
      <w:pPr>
        <w:pStyle w:val="3"/>
      </w:pPr>
      <w:bookmarkStart w:id="58" w:name="_Toc228174642"/>
      <w:bookmarkStart w:id="59" w:name="_Toc7779"/>
      <w:bookmarkStart w:id="60" w:name="_Toc9245"/>
      <w:bookmarkStart w:id="61" w:name="_Toc4199"/>
      <w:bookmarkStart w:id="62" w:name="_Toc237424177"/>
      <w:r>
        <w:rPr>
          <w:rFonts w:hint="eastAsia"/>
        </w:rPr>
        <w:t>（二）道路</w:t>
      </w:r>
      <w:r>
        <w:rPr>
          <w:rFonts w:hint="eastAsia" w:asciiTheme="majorHAnsi" w:hAnsiTheme="majorHAnsi"/>
        </w:rPr>
        <w:t>交通</w:t>
      </w:r>
      <w:r>
        <w:rPr>
          <w:rFonts w:hint="eastAsia"/>
        </w:rPr>
        <w:t>发展趋势</w:t>
      </w:r>
      <w:bookmarkEnd w:id="58"/>
      <w:bookmarkEnd w:id="59"/>
      <w:bookmarkEnd w:id="60"/>
      <w:bookmarkEnd w:id="61"/>
      <w:bookmarkEnd w:id="62"/>
    </w:p>
    <w:p>
      <w:pPr>
        <w:ind w:firstLine="640"/>
      </w:pPr>
      <w:r>
        <w:rPr>
          <w:rFonts w:hint="eastAsia"/>
          <w:lang w:eastAsia="zh-CN"/>
        </w:rPr>
        <w:t>“</w:t>
      </w:r>
      <w:r>
        <w:rPr>
          <w:rFonts w:hint="eastAsia"/>
        </w:rPr>
        <w:t>十五五</w:t>
      </w:r>
      <w:r>
        <w:rPr>
          <w:rFonts w:hint="eastAsia"/>
          <w:lang w:eastAsia="zh-CN"/>
        </w:rPr>
        <w:t>”</w:t>
      </w:r>
      <w:r>
        <w:rPr>
          <w:rFonts w:hint="eastAsia"/>
        </w:rPr>
        <w:t>时期，全市将以市中心城区、盘州城区、六枝特区城区为核心节点，持续健全客货铁路网络，强化与国家高速铁路主通道的多向衔接联通；统筹推进国省干线提质改造，优化市域航空整体布局，全面适配通航运输发展需求；加密完善高速公路路网，缩短市域城镇时空联系。立足贵州向西开放前沿区位，深化跨区域协作交流，统筹城乡一体化发展，构建</w:t>
      </w:r>
      <w:r>
        <w:t>有效覆盖、布局合理、支撑有力、高效便捷的现代化综合立体交通网</w:t>
      </w:r>
      <w:r>
        <w:rPr>
          <w:rFonts w:hint="eastAsia"/>
        </w:rPr>
        <w:t>。</w:t>
      </w:r>
    </w:p>
    <w:p>
      <w:pPr>
        <w:ind w:firstLine="640"/>
      </w:pPr>
      <w:r>
        <w:rPr>
          <w:rFonts w:hint="eastAsia"/>
        </w:rPr>
        <w:t>为夯实综合交通运输体系基础，</w:t>
      </w:r>
      <w:r>
        <w:rPr>
          <w:rFonts w:hint="eastAsia"/>
          <w:lang w:eastAsia="zh-CN"/>
        </w:rPr>
        <w:t>“</w:t>
      </w:r>
      <w:r>
        <w:rPr>
          <w:rFonts w:hint="eastAsia"/>
        </w:rPr>
        <w:t>十五五</w:t>
      </w:r>
      <w:r>
        <w:rPr>
          <w:rFonts w:hint="eastAsia"/>
          <w:lang w:eastAsia="zh-CN"/>
        </w:rPr>
        <w:t>”</w:t>
      </w:r>
      <w:r>
        <w:rPr>
          <w:rFonts w:hint="eastAsia"/>
        </w:rPr>
        <w:t>期间，全市将集中推进公路、铁路、航空机场、枢纽场站四大类重点项目建设，进一步扩大投资规模、提升建设质效。</w:t>
      </w:r>
      <w:r>
        <w:rPr>
          <w:rFonts w:hint="eastAsia"/>
          <w:b/>
          <w:bCs/>
        </w:rPr>
        <w:t>公路项目。</w:t>
      </w:r>
      <w:r>
        <w:rPr>
          <w:rFonts w:hint="eastAsia"/>
        </w:rPr>
        <w:t>规划实施公路项目84个。重点推进沪昆国家高速公路安顺至盘州（黔滇界）段扩容工程、G8517屏山至兴义高速公路（六盘水至兴义段）等高速公路项目建设，加快推进宣威（滇黔界）至盘州高速公路（盘州境）；推进G246盘州鸡场坪至刘官公路、G246盘州市刘官至赵官公路、G246钟山区龙潭口至纸厂公路、G320普安盘州三板桥至刘官公路、S217水城坪寨至玉舍公路等普通国省道提质改造；加快CV04那玉至懒板凳公路、盘州官山机场快速联络线、Y095法都至六七一九公路改扩建、水城区水营组至五里桥组公路等项目建设；实施新一轮农村公路提升改造，计划开展1510公里农村公路提质升级，全面完善市域公路网络。</w:t>
      </w:r>
      <w:r>
        <w:rPr>
          <w:rFonts w:hint="eastAsia"/>
          <w:b/>
          <w:bCs/>
        </w:rPr>
        <w:t>铁路项目。</w:t>
      </w:r>
      <w:r>
        <w:rPr>
          <w:rFonts w:hint="eastAsia"/>
        </w:rPr>
        <w:t>规划实施铁路项目6个，有序推进六盘水经威宁至昭通铁路前期工作，加快纳雍至六盘水铁路、黄桶至百色铁路建设，扎实推进沪昆铁路提质改造，积极谋划推进盘北化工园区铁路专用线、六盘水至盘州铁路，着力打通市域及周边铁路运输关键节点。</w:t>
      </w:r>
      <w:r>
        <w:rPr>
          <w:rFonts w:hint="eastAsia"/>
          <w:b/>
          <w:bCs/>
        </w:rPr>
        <w:t>航空水运项目。</w:t>
      </w:r>
      <w:r>
        <w:rPr>
          <w:rFonts w:hint="eastAsia"/>
        </w:rPr>
        <w:t>规划建设机场项目1个，有序推进盘州官山民用机场建设；完善港口码头功能，推进基础设施改造，提升应急保障与公共服务功能。</w:t>
      </w:r>
      <w:r>
        <w:rPr>
          <w:rFonts w:hint="eastAsia"/>
          <w:b/>
          <w:bCs/>
        </w:rPr>
        <w:t>枢纽场站项目。</w:t>
      </w:r>
      <w:r>
        <w:rPr>
          <w:rFonts w:hint="eastAsia"/>
        </w:rPr>
        <w:t>规划建设枢纽场站项目6个，重点推进六盘水国家骨干冷链物流基地、六盘水市粮食循环产业物流园、六盘水市西部国家级物流枢纽中心、六枝冷链物流中心、水城经济开发区大宗商品智慧物流基地、六盘水陆港型国家物流枢纽建设，持续完善物流枢纽体系。</w:t>
      </w:r>
    </w:p>
    <w:p>
      <w:pPr>
        <w:ind w:firstLine="640"/>
      </w:pPr>
      <w:r>
        <w:rPr>
          <w:rFonts w:hint="eastAsia"/>
        </w:rPr>
        <w:t>预计到2030年，高速公路通车里程力争突破760公里，普通国道二级及以上比例达到90%以上。</w:t>
      </w:r>
    </w:p>
    <w:p>
      <w:pPr>
        <w:pStyle w:val="3"/>
      </w:pPr>
      <w:bookmarkStart w:id="63" w:name="_Toc237424178"/>
      <w:bookmarkStart w:id="64" w:name="_Toc30105"/>
      <w:bookmarkStart w:id="65" w:name="_Toc20222"/>
      <w:bookmarkStart w:id="66" w:name="_Toc228174643"/>
      <w:bookmarkStart w:id="67" w:name="_Toc21275"/>
      <w:r>
        <w:rPr>
          <w:rFonts w:hint="eastAsia"/>
        </w:rPr>
        <w:t>（三）</w:t>
      </w:r>
      <w:r>
        <w:rPr>
          <w:rFonts w:hint="eastAsia" w:asciiTheme="majorHAnsi" w:hAnsiTheme="majorHAnsi"/>
        </w:rPr>
        <w:t>机动车</w:t>
      </w:r>
      <w:r>
        <w:rPr>
          <w:rFonts w:hint="eastAsia"/>
        </w:rPr>
        <w:t>保有量发展趋势</w:t>
      </w:r>
      <w:bookmarkEnd w:id="63"/>
      <w:bookmarkEnd w:id="64"/>
      <w:bookmarkEnd w:id="65"/>
      <w:bookmarkEnd w:id="66"/>
      <w:bookmarkEnd w:id="67"/>
    </w:p>
    <w:p>
      <w:pPr>
        <w:ind w:firstLine="640"/>
      </w:pPr>
      <w:r>
        <w:rPr>
          <w:rFonts w:hint="eastAsia"/>
        </w:rPr>
        <w:t>根据国内外机动化发展的实践经验，机动化发展水平与经济发展、空间布局、土地利用、交通设施供给，以及国家、省和市在产业、环保、运输发展等方面的相关政策直接相关。其中核心影响因素包括全市经济发展水平、人均GDP与人均收入水平、机动车使用成本、公共政策、公共交通的发展程度与票价、税收制度、机动车售价、公共交通设施服务质量、土地利用模式，以及三次产业发展状况等。</w:t>
      </w:r>
    </w:p>
    <w:p>
      <w:pPr>
        <w:ind w:firstLine="640"/>
      </w:pPr>
      <w:bookmarkStart w:id="68" w:name="OLE_LINK1"/>
      <w:r>
        <w:rPr>
          <w:rFonts w:hint="eastAsia"/>
        </w:rPr>
        <w:t>结合全市经济发展目标导向、交通基础设施持续完善，叠加城镇化进程稳步推进、居民生活品质持续提升，机动车刚性出行需求将持续释放，机动车总体规模将稳步扩容，车用能源结构加速迭代升级。一方面，新能源汽车推广应用持续深化，氢能车辆示范布局有序推进，传统燃油车辆新增增量逐步收窄；另一方面，城市日常出行、城乡物流配送等领域用能结构持续优化，多元互补、绿色低碳的车用能源发展格局加快成型。考虑机动车保有量历年增长情况，结合本地城镇化率年均1个百分点的提升节奏及产业发展带动，近期机动车保有量年均增速维</w:t>
      </w:r>
      <w:r>
        <w:rPr>
          <w:rFonts w:hint="eastAsia"/>
          <w:lang w:eastAsia="zh-CN"/>
        </w:rPr>
        <w:t>持在</w:t>
      </w:r>
      <w:r>
        <w:rPr>
          <w:rFonts w:hint="eastAsia"/>
        </w:rPr>
        <w:t>6%、远期调整为3%，以2025年84.92万辆为基准，预计到2030年机动车保有量达到113.6万辆、年均增速约为6%，到2035年机动车保有量达到131.7万辆、年均增速约为3%。其中，分能源类型看，到2030年，传统能源车保有量达到81.8万辆，年均增速约1.3%；新能源汽车保有量达到约31.8万辆；氢能汽车达到500辆；2035年，传统能源车保有量逐步回落至76.4万辆，新能源汽车保有量达到55.3万辆，氢能汽车达到3000辆。</w:t>
      </w:r>
    </w:p>
    <w:bookmarkEnd w:id="68"/>
    <w:p>
      <w:pPr>
        <w:pStyle w:val="3"/>
      </w:pPr>
      <w:bookmarkStart w:id="69" w:name="_Toc4582"/>
      <w:bookmarkStart w:id="70" w:name="_Toc8674"/>
      <w:bookmarkStart w:id="71" w:name="_Toc237424179"/>
      <w:bookmarkStart w:id="72" w:name="_Toc228174644"/>
      <w:bookmarkStart w:id="73" w:name="_Toc8386"/>
      <w:r>
        <w:rPr>
          <w:rFonts w:hint="eastAsia"/>
        </w:rPr>
        <w:t>（四）成品油及站点需求预测</w:t>
      </w:r>
      <w:bookmarkEnd w:id="69"/>
      <w:bookmarkEnd w:id="70"/>
      <w:bookmarkEnd w:id="71"/>
      <w:bookmarkEnd w:id="72"/>
      <w:bookmarkEnd w:id="73"/>
    </w:p>
    <w:p>
      <w:pPr>
        <w:pStyle w:val="4"/>
        <w:ind w:firstLine="643"/>
      </w:pPr>
      <w:r>
        <w:rPr>
          <w:rFonts w:hint="eastAsia"/>
        </w:rPr>
        <w:t>1.</w:t>
      </w:r>
      <w:r>
        <w:t>成品油需求预测</w:t>
      </w:r>
    </w:p>
    <w:p>
      <w:pPr>
        <w:ind w:firstLine="640"/>
      </w:pPr>
      <w:r>
        <w:rPr>
          <w:rFonts w:hint="eastAsia"/>
        </w:rPr>
        <w:t>考虑六盘水市发展实际，聚焦产业</w:t>
      </w:r>
      <w:r>
        <w:rPr>
          <w:rFonts w:hint="eastAsia"/>
          <w:lang w:eastAsia="zh-CN"/>
        </w:rPr>
        <w:t>“</w:t>
      </w:r>
      <w:r>
        <w:rPr>
          <w:rFonts w:hint="eastAsia"/>
        </w:rPr>
        <w:t>含新量</w:t>
      </w:r>
      <w:r>
        <w:rPr>
          <w:rFonts w:hint="eastAsia"/>
          <w:lang w:eastAsia="zh-CN"/>
        </w:rPr>
        <w:t>”</w:t>
      </w:r>
      <w:r>
        <w:rPr>
          <w:rFonts w:hint="eastAsia"/>
        </w:rPr>
        <w:t>提升与</w:t>
      </w:r>
      <w:r>
        <w:rPr>
          <w:rFonts w:hint="eastAsia"/>
          <w:lang w:eastAsia="zh-CN"/>
        </w:rPr>
        <w:t>“</w:t>
      </w:r>
      <w:r>
        <w:rPr>
          <w:rFonts w:hint="eastAsia"/>
        </w:rPr>
        <w:t>含金量</w:t>
      </w:r>
      <w:r>
        <w:rPr>
          <w:rFonts w:hint="eastAsia"/>
          <w:lang w:eastAsia="zh-CN"/>
        </w:rPr>
        <w:t>”</w:t>
      </w:r>
      <w:r>
        <w:rPr>
          <w:rFonts w:hint="eastAsia"/>
        </w:rPr>
        <w:t>增长，全力推进</w:t>
      </w:r>
      <w:r>
        <w:rPr>
          <w:rFonts w:hint="eastAsia"/>
          <w:lang w:eastAsia="zh-CN"/>
        </w:rPr>
        <w:t>“</w:t>
      </w:r>
      <w:r>
        <w:rPr>
          <w:rFonts w:hint="eastAsia"/>
        </w:rPr>
        <w:t>2151</w:t>
      </w:r>
      <w:r>
        <w:rPr>
          <w:rFonts w:hint="eastAsia"/>
          <w:lang w:eastAsia="zh-CN"/>
        </w:rPr>
        <w:t>”</w:t>
      </w:r>
      <w:r>
        <w:rPr>
          <w:rFonts w:hint="eastAsia"/>
        </w:rPr>
        <w:t>产业集群建设，重点打造千亿级新型综合能源基地、千亿级西南煤化工集群，培育壮大钢铁、铝及铝加工、能矿装备制造、特色农业、现代物流五个百亿级产业集群。在产业快速发展带动下，现代物流、特色农业等领域用车需求持续攀升，客货运车辆、农用机械已成为全市机动车的重要组成部分。这类车辆受作业场景特殊、续航要求较高等因素影响，当前对传统燃油仍保持较高依赖度，是支撑全市成品油消费的核心力量。与此同时，全市机动车保有量稳步增长，燃油车辆仍占主体地位，短期内在刚性用油托举下，成品油消费总体保持平稳运行。长远来看，国家</w:t>
      </w:r>
      <w:r>
        <w:rPr>
          <w:rFonts w:hint="eastAsia"/>
          <w:lang w:eastAsia="zh-CN"/>
        </w:rPr>
        <w:t>“</w:t>
      </w:r>
      <w:r>
        <w:rPr>
          <w:rFonts w:hint="eastAsia"/>
        </w:rPr>
        <w:t>以旧换新</w:t>
      </w:r>
      <w:r>
        <w:rPr>
          <w:rFonts w:hint="eastAsia"/>
          <w:lang w:eastAsia="zh-CN"/>
        </w:rPr>
        <w:t>”</w:t>
      </w:r>
      <w:r>
        <w:rPr>
          <w:rFonts w:hint="eastAsia"/>
        </w:rPr>
        <w:t>政策明显向新能源汽车倾斜，以及本地资源型城市转型发展布局，伴随氢能示范应用、新能源重卡推广、民用新能源车比例持续提升，工业、货运、通勤等传统用油领域替代节奏将逐步加快，刚性用油支撑力度持续减弱。综合判断，全市成品油市场将延续</w:t>
      </w:r>
      <w:r>
        <w:rPr>
          <w:rFonts w:hint="eastAsia"/>
          <w:lang w:eastAsia="zh-CN"/>
        </w:rPr>
        <w:t>“</w:t>
      </w:r>
      <w:r>
        <w:rPr>
          <w:rFonts w:hint="eastAsia"/>
        </w:rPr>
        <w:t>短期刚性托底、长期稳步下行</w:t>
      </w:r>
      <w:r>
        <w:rPr>
          <w:rFonts w:hint="eastAsia"/>
          <w:lang w:eastAsia="zh-CN"/>
        </w:rPr>
        <w:t>”</w:t>
      </w:r>
      <w:r>
        <w:rPr>
          <w:rFonts w:hint="eastAsia"/>
        </w:rPr>
        <w:t>发展态势，存量竞争特征愈发明显，据此，加油站点发展以优化空间布局、夯实保供服务能力为核心，持续强化生产生活领域成品油稳定供给。</w:t>
      </w:r>
    </w:p>
    <w:p>
      <w:pPr>
        <w:ind w:firstLine="640"/>
        <w:rPr>
          <w:vertAlign w:val="superscript"/>
        </w:rPr>
      </w:pPr>
      <w:r>
        <w:rPr>
          <w:rFonts w:hint="eastAsia"/>
        </w:rPr>
        <w:t>预测公式：</w:t>
      </w:r>
      <m:oMath>
        <m:r>
          <m:rPr/>
          <w:rPr>
            <w:rFonts w:ascii="Cambria Math" w:hAnsi="Cambria Math"/>
          </w:rPr>
          <m:t>Q=</m:t>
        </m:r>
        <m:sSup>
          <m:sSupPr>
            <m:ctrlPr>
              <w:rPr>
                <w:rFonts w:ascii="Cambria Math" w:hAnsi="Cambria Math"/>
                <w:i/>
              </w:rPr>
            </m:ctrlPr>
          </m:sSupPr>
          <m:e>
            <m:r>
              <m:rPr/>
              <w:rPr>
                <w:rFonts w:ascii="Cambria Math" w:hAnsi="Cambria Math"/>
              </w:rPr>
              <m:t>F×(1+K)</m:t>
            </m:r>
            <m:ctrlPr>
              <w:rPr>
                <w:rFonts w:ascii="Cambria Math" w:hAnsi="Cambria Math"/>
                <w:i/>
              </w:rPr>
            </m:ctrlPr>
          </m:e>
          <m:sup>
            <m:r>
              <m:rPr/>
              <w:rPr>
                <w:rFonts w:ascii="Cambria Math" w:hAnsi="Cambria Math"/>
              </w:rPr>
              <m:t>n</m:t>
            </m:r>
            <m:ctrlPr>
              <w:rPr>
                <w:rFonts w:ascii="Cambria Math" w:hAnsi="Cambria Math"/>
                <w:i/>
              </w:rPr>
            </m:ctrlPr>
          </m:sup>
        </m:sSup>
      </m:oMath>
    </w:p>
    <w:p>
      <w:pPr>
        <w:ind w:firstLine="640"/>
      </w:pPr>
      <w:r>
        <w:rPr>
          <w:rFonts w:hint="eastAsia"/>
        </w:rPr>
        <w:t>其中，</w:t>
      </w:r>
      <m:oMath>
        <m:r>
          <m:rPr/>
          <w:rPr>
            <w:rFonts w:ascii="Cambria Math" w:hAnsi="Cambria Math"/>
          </w:rPr>
          <m:t>K=P×E</m:t>
        </m:r>
      </m:oMath>
    </w:p>
    <w:p>
      <w:pPr>
        <w:ind w:firstLine="640"/>
      </w:pPr>
      <m:oMath>
        <m:r>
          <m:rPr/>
          <w:rPr>
            <w:rFonts w:hint="eastAsia" w:ascii="Cambria Math" w:hAnsi="Cambria Math"/>
          </w:rPr>
          <m:t>Q</m:t>
        </m:r>
      </m:oMath>
      <w:r>
        <w:rPr>
          <w:rFonts w:hint="eastAsia"/>
        </w:rPr>
        <w:t>：报告期成品油销售量（万吨）预测值；</w:t>
      </w:r>
    </w:p>
    <w:p>
      <w:pPr>
        <w:ind w:firstLine="640"/>
      </w:pPr>
      <m:oMath>
        <m:r>
          <m:rPr/>
          <w:rPr>
            <w:rFonts w:hint="eastAsia" w:ascii="Cambria Math" w:hAnsi="Cambria Math"/>
          </w:rPr>
          <m:t>F</m:t>
        </m:r>
      </m:oMath>
      <w:r>
        <w:rPr>
          <w:rFonts w:hint="eastAsia"/>
        </w:rPr>
        <w:t>：基期成品油销售量（2025年60.69万吨）；</w:t>
      </w:r>
    </w:p>
    <w:p>
      <w:pPr>
        <w:ind w:firstLine="640"/>
      </w:pPr>
      <m:oMath>
        <m:r>
          <m:rPr/>
          <w:rPr>
            <w:rFonts w:hint="eastAsia" w:ascii="Cambria Math" w:hAnsi="Cambria Math"/>
          </w:rPr>
          <m:t>n</m:t>
        </m:r>
      </m:oMath>
      <w:r>
        <w:rPr>
          <w:rFonts w:hint="eastAsia"/>
        </w:rPr>
        <w:t>：预测周期（年）；</w:t>
      </w:r>
    </w:p>
    <w:p>
      <w:pPr>
        <w:ind w:firstLine="640"/>
      </w:pPr>
      <m:oMath>
        <m:r>
          <m:rPr/>
          <w:rPr>
            <w:rFonts w:hint="eastAsia" w:ascii="Cambria Math" w:hAnsi="Cambria Math"/>
          </w:rPr>
          <m:t>P</m:t>
        </m:r>
      </m:oMath>
      <w:r>
        <w:rPr>
          <w:rFonts w:hint="eastAsia"/>
        </w:rPr>
        <w:t>：地区生产总值平均增长速度（2021—2025年年均增速</w:t>
      </w:r>
      <w:r>
        <w:t>5.5%</w:t>
      </w:r>
      <w:r>
        <w:rPr>
          <w:rFonts w:hint="eastAsia"/>
        </w:rPr>
        <w:t>）；</w:t>
      </w:r>
    </w:p>
    <w:p>
      <w:pPr>
        <w:ind w:firstLine="640"/>
      </w:pPr>
      <m:oMath>
        <m:r>
          <m:rPr/>
          <w:rPr>
            <w:rFonts w:hint="eastAsia" w:ascii="Cambria Math" w:hAnsi="Cambria Math"/>
          </w:rPr>
          <m:t>E</m:t>
        </m:r>
      </m:oMath>
      <w:r>
        <w:rPr>
          <w:rFonts w:hint="eastAsia"/>
        </w:rPr>
        <w:t>：成品油消费增长弹性系数，参考《成品油需求预测方法》行业通用弹性取值区间0.3—0.5，结合六盘水市实际取0.38；</w:t>
      </w:r>
    </w:p>
    <w:p>
      <w:pPr>
        <w:ind w:firstLine="640"/>
      </w:pPr>
      <m:oMath>
        <m:r>
          <m:rPr/>
          <w:rPr>
            <w:rFonts w:hint="eastAsia" w:ascii="Cambria Math" w:hAnsi="Cambria Math"/>
          </w:rPr>
          <m:t>K</m:t>
        </m:r>
      </m:oMath>
      <w:r>
        <w:rPr>
          <w:rFonts w:hint="eastAsia"/>
        </w:rPr>
        <w:t>：成品油消费增长率（</w:t>
      </w:r>
      <w:r>
        <w:t>2.09%</w:t>
      </w:r>
      <w:r>
        <w:rPr>
          <w:rFonts w:hint="eastAsia"/>
        </w:rPr>
        <w:t>）。</w:t>
      </w:r>
    </w:p>
    <w:p>
      <w:pPr>
        <w:ind w:firstLine="640"/>
      </w:pPr>
      <w:r>
        <w:rPr>
          <w:rFonts w:hint="eastAsia"/>
        </w:rPr>
        <w:t>根据公式计算得到近远期预测值如下。</w:t>
      </w:r>
    </w:p>
    <w:p>
      <w:pPr>
        <w:widowControl/>
        <w:spacing w:line="240" w:lineRule="auto"/>
        <w:ind w:firstLine="0" w:firstLineChars="0"/>
        <w:jc w:val="left"/>
      </w:pPr>
      <w:r>
        <w:br w:type="page"/>
      </w:r>
    </w:p>
    <w:p>
      <w:pPr>
        <w:pStyle w:val="28"/>
      </w:pPr>
      <w:r>
        <w:rPr>
          <w:rFonts w:hint="eastAsia"/>
        </w:rPr>
        <w:t>六盘水市成品油需求量预测值</w:t>
      </w:r>
    </w:p>
    <w:tbl>
      <w:tblPr>
        <w:tblStyle w:val="21"/>
        <w:tblW w:w="496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790"/>
        <w:gridCol w:w="425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646" w:type="pct"/>
            <w:vAlign w:val="center"/>
          </w:tcPr>
          <w:p>
            <w:pPr>
              <w:spacing w:line="480" w:lineRule="exact"/>
              <w:ind w:firstLine="0" w:firstLineChars="0"/>
              <w:jc w:val="center"/>
              <w:rPr>
                <w:b/>
                <w:bCs/>
                <w:sz w:val="24"/>
                <w:szCs w:val="20"/>
              </w:rPr>
            </w:pPr>
            <w:r>
              <w:rPr>
                <w:rFonts w:hint="eastAsia"/>
                <w:b/>
                <w:bCs/>
                <w:sz w:val="24"/>
                <w:szCs w:val="20"/>
              </w:rPr>
              <w:t>时间</w:t>
            </w:r>
          </w:p>
        </w:tc>
        <w:tc>
          <w:tcPr>
            <w:tcW w:w="2353" w:type="pct"/>
            <w:vAlign w:val="center"/>
          </w:tcPr>
          <w:p>
            <w:pPr>
              <w:spacing w:line="480" w:lineRule="exact"/>
              <w:ind w:firstLine="0" w:firstLineChars="0"/>
              <w:jc w:val="center"/>
              <w:rPr>
                <w:b/>
                <w:bCs/>
                <w:sz w:val="24"/>
                <w:szCs w:val="20"/>
              </w:rPr>
            </w:pPr>
            <w:r>
              <w:rPr>
                <w:rFonts w:hint="eastAsia"/>
                <w:b/>
                <w:bCs/>
                <w:sz w:val="24"/>
                <w:szCs w:val="20"/>
              </w:rPr>
              <w:t>预测值（万吨）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646" w:type="pct"/>
            <w:vAlign w:val="center"/>
          </w:tcPr>
          <w:p>
            <w:pPr>
              <w:spacing w:line="480" w:lineRule="exact"/>
              <w:ind w:firstLine="0" w:firstLineChars="0"/>
              <w:jc w:val="center"/>
              <w:rPr>
                <w:sz w:val="24"/>
                <w:szCs w:val="20"/>
              </w:rPr>
            </w:pPr>
            <w:r>
              <w:rPr>
                <w:rFonts w:hint="eastAsia"/>
                <w:sz w:val="24"/>
                <w:szCs w:val="20"/>
              </w:rPr>
              <w:t>近期（到2030年）</w:t>
            </w:r>
          </w:p>
        </w:tc>
        <w:tc>
          <w:tcPr>
            <w:tcW w:w="2353" w:type="pct"/>
            <w:vAlign w:val="center"/>
          </w:tcPr>
          <w:p>
            <w:pPr>
              <w:spacing w:line="480" w:lineRule="exact"/>
              <w:ind w:firstLine="0" w:firstLineChars="0"/>
              <w:jc w:val="center"/>
              <w:rPr>
                <w:sz w:val="24"/>
                <w:szCs w:val="20"/>
              </w:rPr>
            </w:pPr>
            <w:r>
              <w:rPr>
                <w:sz w:val="24"/>
                <w:szCs w:val="20"/>
              </w:rPr>
              <w:t>71.06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646" w:type="pct"/>
            <w:vAlign w:val="center"/>
          </w:tcPr>
          <w:p>
            <w:pPr>
              <w:spacing w:line="480" w:lineRule="exact"/>
              <w:ind w:firstLine="0" w:firstLineChars="0"/>
              <w:jc w:val="center"/>
              <w:rPr>
                <w:sz w:val="24"/>
                <w:szCs w:val="20"/>
              </w:rPr>
            </w:pPr>
            <w:r>
              <w:rPr>
                <w:rFonts w:hint="eastAsia"/>
                <w:sz w:val="24"/>
                <w:szCs w:val="20"/>
              </w:rPr>
              <w:t>远期（到</w:t>
            </w:r>
            <w:r>
              <w:rPr>
                <w:sz w:val="24"/>
                <w:szCs w:val="20"/>
              </w:rPr>
              <w:t>2035</w:t>
            </w:r>
            <w:r>
              <w:rPr>
                <w:rFonts w:hint="eastAsia"/>
                <w:sz w:val="24"/>
                <w:szCs w:val="20"/>
              </w:rPr>
              <w:t>年）</w:t>
            </w:r>
          </w:p>
        </w:tc>
        <w:tc>
          <w:tcPr>
            <w:tcW w:w="2353" w:type="pct"/>
            <w:vAlign w:val="center"/>
          </w:tcPr>
          <w:p>
            <w:pPr>
              <w:spacing w:line="480" w:lineRule="exact"/>
              <w:ind w:firstLine="0" w:firstLineChars="0"/>
              <w:jc w:val="center"/>
              <w:rPr>
                <w:sz w:val="24"/>
                <w:szCs w:val="20"/>
              </w:rPr>
            </w:pPr>
            <w:r>
              <w:rPr>
                <w:sz w:val="24"/>
                <w:szCs w:val="20"/>
              </w:rPr>
              <w:t>78.19</w:t>
            </w:r>
          </w:p>
        </w:tc>
      </w:tr>
    </w:tbl>
    <w:p>
      <w:pPr>
        <w:ind w:firstLine="640"/>
      </w:pPr>
      <w:r>
        <w:rPr>
          <w:rFonts w:hint="eastAsia"/>
        </w:rPr>
        <w:t>分品种看，民用新能源车比例持续提升，对汽油替代节奏加快，但现有燃油车保有量仍较大，短期刚性需求仍存，长期占比逐步下降。柴油方面，受现代物流、特色农业、能矿装备制造及煤化工等产业带动，客货运车辆、农用机械对柴油依赖度高，替代速度相对较慢，占比将逐步提升。基于历史汽油与柴油在成品油中的平均占比及未来趋势调整，设定：近期汽油占比50%，柴油占比50%；远期汽油占比45%，柴油占比55%。</w:t>
      </w:r>
    </w:p>
    <w:p>
      <w:pPr>
        <w:ind w:firstLine="640"/>
      </w:pPr>
      <w:r>
        <w:rPr>
          <w:rFonts w:hint="eastAsia"/>
        </w:rPr>
        <w:t>政策影响考虑：一是针对电车可能出台的道路养护使用费，设定</w:t>
      </w:r>
      <w:r>
        <w:rPr>
          <w:rFonts w:hint="eastAsia"/>
          <w:lang w:eastAsia="zh-CN"/>
        </w:rPr>
        <w:t>“</w:t>
      </w:r>
      <w:r>
        <w:rPr>
          <w:rFonts w:hint="eastAsia"/>
        </w:rPr>
        <w:t>若2030年起电车征收道路养护费（按年均1000元/辆测算），将减缓电车替代节奏，预计2030年汽油需求较原预测值上浮5%</w:t>
      </w:r>
      <w:r>
        <w:rPr>
          <w:rFonts w:hint="eastAsia"/>
          <w:lang w:eastAsia="zh-CN"/>
        </w:rPr>
        <w:t>”</w:t>
      </w:r>
      <w:r>
        <w:rPr>
          <w:rFonts w:hint="eastAsia"/>
        </w:rPr>
        <w:t>；二是考虑新能源补贴调整政策，若2030年后新能源汽车补贴退坡，燃油车保有量下降速度将放缓，远期汽油需求占比可上调至48%；三是结合氢能产业扶持政策，氢能重卡推广将逐步替代柴油重卡，远期柴油需求增速将放缓，预测值下调3%。</w:t>
      </w:r>
    </w:p>
    <w:p>
      <w:pPr>
        <w:widowControl/>
        <w:spacing w:line="240" w:lineRule="auto"/>
        <w:ind w:firstLine="0" w:firstLineChars="0"/>
        <w:jc w:val="left"/>
      </w:pPr>
      <w:r>
        <w:br w:type="page"/>
      </w:r>
    </w:p>
    <w:p>
      <w:pPr>
        <w:pStyle w:val="28"/>
      </w:pPr>
      <w:r>
        <w:rPr>
          <w:rFonts w:hint="eastAsia"/>
        </w:rPr>
        <w:t>六盘水市成品油分品种需求量预测值</w:t>
      </w:r>
    </w:p>
    <w:tbl>
      <w:tblPr>
        <w:tblStyle w:val="21"/>
        <w:tblW w:w="486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739"/>
        <w:gridCol w:w="2180"/>
        <w:gridCol w:w="2129"/>
        <w:gridCol w:w="1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543" w:type="pct"/>
            <w:vAlign w:val="center"/>
          </w:tcPr>
          <w:p>
            <w:pPr>
              <w:spacing w:line="480" w:lineRule="exact"/>
              <w:ind w:firstLine="0" w:firstLineChars="0"/>
              <w:jc w:val="center"/>
              <w:rPr>
                <w:b/>
                <w:bCs/>
                <w:sz w:val="24"/>
                <w:szCs w:val="20"/>
              </w:rPr>
            </w:pPr>
            <w:r>
              <w:rPr>
                <w:rFonts w:hint="eastAsia"/>
                <w:b/>
                <w:bCs/>
                <w:sz w:val="24"/>
                <w:szCs w:val="20"/>
              </w:rPr>
              <w:t>时间</w:t>
            </w:r>
          </w:p>
        </w:tc>
        <w:tc>
          <w:tcPr>
            <w:tcW w:w="1228" w:type="pct"/>
            <w:vAlign w:val="center"/>
          </w:tcPr>
          <w:p>
            <w:pPr>
              <w:spacing w:line="480" w:lineRule="exact"/>
              <w:ind w:firstLine="0" w:firstLineChars="0"/>
              <w:jc w:val="center"/>
              <w:rPr>
                <w:b/>
                <w:bCs/>
                <w:sz w:val="24"/>
                <w:szCs w:val="20"/>
              </w:rPr>
            </w:pPr>
            <w:r>
              <w:rPr>
                <w:rFonts w:hint="eastAsia"/>
                <w:b/>
                <w:bCs/>
                <w:sz w:val="24"/>
                <w:szCs w:val="20"/>
              </w:rPr>
              <w:t>汽油预测值</w:t>
            </w:r>
            <w:r>
              <w:rPr>
                <w:rFonts w:hint="eastAsia"/>
                <w:b/>
                <w:bCs/>
                <w:sz w:val="24"/>
                <w:szCs w:val="20"/>
              </w:rPr>
              <w:br w:type="textWrapping"/>
            </w:r>
            <w:r>
              <w:rPr>
                <w:rFonts w:hint="eastAsia"/>
                <w:b/>
                <w:bCs/>
                <w:sz w:val="24"/>
                <w:szCs w:val="20"/>
              </w:rPr>
              <w:t>（万吨）</w:t>
            </w:r>
          </w:p>
        </w:tc>
        <w:tc>
          <w:tcPr>
            <w:tcW w:w="1199" w:type="pct"/>
            <w:vAlign w:val="center"/>
          </w:tcPr>
          <w:p>
            <w:pPr>
              <w:spacing w:line="480" w:lineRule="exact"/>
              <w:ind w:firstLine="0" w:firstLineChars="0"/>
              <w:jc w:val="center"/>
              <w:rPr>
                <w:b/>
                <w:bCs/>
                <w:sz w:val="24"/>
                <w:szCs w:val="20"/>
              </w:rPr>
            </w:pPr>
            <w:r>
              <w:rPr>
                <w:rFonts w:hint="eastAsia"/>
                <w:b/>
                <w:bCs/>
                <w:sz w:val="24"/>
                <w:szCs w:val="20"/>
              </w:rPr>
              <w:t>柴油预测值</w:t>
            </w:r>
            <w:r>
              <w:rPr>
                <w:rFonts w:hint="eastAsia"/>
                <w:b/>
                <w:bCs/>
                <w:sz w:val="24"/>
                <w:szCs w:val="20"/>
              </w:rPr>
              <w:br w:type="textWrapping"/>
            </w:r>
            <w:r>
              <w:rPr>
                <w:rFonts w:hint="eastAsia"/>
                <w:b/>
                <w:bCs/>
                <w:sz w:val="24"/>
                <w:szCs w:val="20"/>
              </w:rPr>
              <w:t>（万吨）</w:t>
            </w:r>
          </w:p>
        </w:tc>
        <w:tc>
          <w:tcPr>
            <w:tcW w:w="1029" w:type="pct"/>
            <w:vAlign w:val="center"/>
          </w:tcPr>
          <w:p>
            <w:pPr>
              <w:spacing w:line="480" w:lineRule="exact"/>
              <w:ind w:firstLine="0" w:firstLineChars="0"/>
              <w:jc w:val="center"/>
              <w:rPr>
                <w:b/>
                <w:bCs/>
                <w:sz w:val="24"/>
                <w:szCs w:val="20"/>
              </w:rPr>
            </w:pPr>
            <w:r>
              <w:rPr>
                <w:rFonts w:hint="eastAsia"/>
                <w:b/>
                <w:bCs/>
                <w:sz w:val="24"/>
                <w:szCs w:val="20"/>
              </w:rPr>
              <w:t>合计</w:t>
            </w:r>
            <w:r>
              <w:rPr>
                <w:b/>
                <w:bCs/>
                <w:sz w:val="24"/>
                <w:szCs w:val="20"/>
              </w:rPr>
              <w:br w:type="textWrapping"/>
            </w:r>
            <w:r>
              <w:rPr>
                <w:rFonts w:hint="eastAsia"/>
                <w:b/>
                <w:bCs/>
                <w:sz w:val="24"/>
                <w:szCs w:val="20"/>
              </w:rPr>
              <w:t>（万吨）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543" w:type="pct"/>
            <w:vAlign w:val="center"/>
          </w:tcPr>
          <w:p>
            <w:pPr>
              <w:spacing w:line="480" w:lineRule="exact"/>
              <w:ind w:firstLine="0" w:firstLineChars="0"/>
              <w:jc w:val="center"/>
              <w:rPr>
                <w:sz w:val="24"/>
                <w:szCs w:val="20"/>
              </w:rPr>
            </w:pPr>
            <w:r>
              <w:rPr>
                <w:rFonts w:hint="eastAsia"/>
                <w:sz w:val="24"/>
                <w:szCs w:val="20"/>
              </w:rPr>
              <w:t>近期（到2030年）</w:t>
            </w:r>
          </w:p>
        </w:tc>
        <w:tc>
          <w:tcPr>
            <w:tcW w:w="1228" w:type="pct"/>
            <w:vAlign w:val="center"/>
          </w:tcPr>
          <w:p>
            <w:pPr>
              <w:spacing w:line="480" w:lineRule="exact"/>
              <w:ind w:firstLine="0" w:firstLineChars="0"/>
              <w:jc w:val="center"/>
              <w:rPr>
                <w:sz w:val="24"/>
                <w:szCs w:val="20"/>
              </w:rPr>
            </w:pPr>
            <w:r>
              <w:rPr>
                <w:sz w:val="24"/>
                <w:szCs w:val="20"/>
              </w:rPr>
              <w:t>35.53</w:t>
            </w:r>
          </w:p>
        </w:tc>
        <w:tc>
          <w:tcPr>
            <w:tcW w:w="1199" w:type="pct"/>
            <w:vAlign w:val="center"/>
          </w:tcPr>
          <w:p>
            <w:pPr>
              <w:spacing w:line="480" w:lineRule="exact"/>
              <w:ind w:firstLine="0" w:firstLineChars="0"/>
              <w:jc w:val="center"/>
              <w:rPr>
                <w:sz w:val="24"/>
                <w:szCs w:val="20"/>
              </w:rPr>
            </w:pPr>
            <w:r>
              <w:rPr>
                <w:sz w:val="24"/>
                <w:szCs w:val="20"/>
              </w:rPr>
              <w:t>35.53</w:t>
            </w:r>
          </w:p>
        </w:tc>
        <w:tc>
          <w:tcPr>
            <w:tcW w:w="1029" w:type="pct"/>
            <w:vAlign w:val="center"/>
          </w:tcPr>
          <w:p>
            <w:pPr>
              <w:spacing w:line="480" w:lineRule="exact"/>
              <w:ind w:firstLine="0" w:firstLineChars="0"/>
              <w:jc w:val="center"/>
              <w:rPr>
                <w:sz w:val="24"/>
                <w:szCs w:val="20"/>
              </w:rPr>
            </w:pPr>
            <w:r>
              <w:rPr>
                <w:rFonts w:hint="eastAsia"/>
                <w:sz w:val="24"/>
                <w:szCs w:val="20"/>
              </w:rPr>
              <w:t>71.06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543" w:type="pct"/>
            <w:vAlign w:val="center"/>
          </w:tcPr>
          <w:p>
            <w:pPr>
              <w:spacing w:line="480" w:lineRule="exact"/>
              <w:ind w:firstLine="0" w:firstLineChars="0"/>
              <w:jc w:val="center"/>
              <w:rPr>
                <w:sz w:val="24"/>
                <w:szCs w:val="20"/>
              </w:rPr>
            </w:pPr>
            <w:r>
              <w:rPr>
                <w:rFonts w:hint="eastAsia"/>
                <w:sz w:val="24"/>
                <w:szCs w:val="20"/>
              </w:rPr>
              <w:t>远期（到</w:t>
            </w:r>
            <w:r>
              <w:rPr>
                <w:sz w:val="24"/>
                <w:szCs w:val="20"/>
              </w:rPr>
              <w:t>2035</w:t>
            </w:r>
            <w:r>
              <w:rPr>
                <w:rFonts w:hint="eastAsia"/>
                <w:sz w:val="24"/>
                <w:szCs w:val="20"/>
              </w:rPr>
              <w:t>年）</w:t>
            </w:r>
          </w:p>
        </w:tc>
        <w:tc>
          <w:tcPr>
            <w:tcW w:w="1228" w:type="pct"/>
            <w:vAlign w:val="center"/>
          </w:tcPr>
          <w:p>
            <w:pPr>
              <w:spacing w:line="480" w:lineRule="exact"/>
              <w:ind w:firstLine="0" w:firstLineChars="0"/>
              <w:jc w:val="center"/>
              <w:rPr>
                <w:sz w:val="24"/>
                <w:szCs w:val="20"/>
              </w:rPr>
            </w:pPr>
            <w:r>
              <w:rPr>
                <w:sz w:val="24"/>
                <w:szCs w:val="20"/>
              </w:rPr>
              <w:t>35.19</w:t>
            </w:r>
          </w:p>
        </w:tc>
        <w:tc>
          <w:tcPr>
            <w:tcW w:w="1199" w:type="pct"/>
            <w:vAlign w:val="center"/>
          </w:tcPr>
          <w:p>
            <w:pPr>
              <w:spacing w:line="480" w:lineRule="exact"/>
              <w:ind w:firstLine="0" w:firstLineChars="0"/>
              <w:jc w:val="center"/>
              <w:rPr>
                <w:sz w:val="24"/>
                <w:szCs w:val="20"/>
              </w:rPr>
            </w:pPr>
            <w:r>
              <w:rPr>
                <w:sz w:val="24"/>
                <w:szCs w:val="20"/>
              </w:rPr>
              <w:t>43.00</w:t>
            </w:r>
          </w:p>
        </w:tc>
        <w:tc>
          <w:tcPr>
            <w:tcW w:w="1029" w:type="pct"/>
            <w:vAlign w:val="center"/>
          </w:tcPr>
          <w:p>
            <w:pPr>
              <w:spacing w:line="480" w:lineRule="exact"/>
              <w:ind w:firstLine="0" w:firstLineChars="0"/>
              <w:jc w:val="center"/>
              <w:rPr>
                <w:sz w:val="24"/>
                <w:szCs w:val="20"/>
              </w:rPr>
            </w:pPr>
            <w:r>
              <w:rPr>
                <w:sz w:val="24"/>
                <w:szCs w:val="20"/>
              </w:rPr>
              <w:t>78.19</w:t>
            </w:r>
          </w:p>
        </w:tc>
      </w:tr>
    </w:tbl>
    <w:p>
      <w:pPr>
        <w:pStyle w:val="4"/>
        <w:ind w:firstLine="643"/>
      </w:pPr>
      <w:r>
        <w:rPr>
          <w:rFonts w:hint="eastAsia"/>
        </w:rPr>
        <w:t>2.</w:t>
      </w:r>
      <w:r>
        <w:t>加油站需求预测</w:t>
      </w:r>
    </w:p>
    <w:p>
      <w:pPr>
        <w:ind w:firstLine="640"/>
      </w:pPr>
      <w:r>
        <w:rPr>
          <w:rFonts w:hint="eastAsia"/>
        </w:rPr>
        <w:t>（1）根据经济系数预测</w:t>
      </w:r>
    </w:p>
    <w:p>
      <w:pPr>
        <w:ind w:firstLine="640"/>
      </w:pPr>
      <w:r>
        <w:rPr>
          <w:rFonts w:hint="eastAsia"/>
        </w:rPr>
        <w:t>以</w:t>
      </w:r>
      <w:r>
        <w:rPr>
          <w:rFonts w:hint="eastAsia"/>
          <w:lang w:eastAsia="zh-CN"/>
        </w:rPr>
        <w:t>“</w:t>
      </w:r>
      <w:r>
        <w:rPr>
          <w:rFonts w:hint="eastAsia"/>
        </w:rPr>
        <w:t>十五五</w:t>
      </w:r>
      <w:r>
        <w:rPr>
          <w:rFonts w:hint="eastAsia"/>
          <w:lang w:eastAsia="zh-CN"/>
        </w:rPr>
        <w:t>”</w:t>
      </w:r>
      <w:r>
        <w:rPr>
          <w:rFonts w:hint="eastAsia"/>
        </w:rPr>
        <w:t>经济发展增长速度为依据，对加油站数量进行预测。全市</w:t>
      </w:r>
      <w:r>
        <w:rPr>
          <w:rFonts w:hint="eastAsia"/>
          <w:lang w:eastAsia="zh-CN"/>
        </w:rPr>
        <w:t>“</w:t>
      </w:r>
      <w:r>
        <w:rPr>
          <w:rFonts w:hint="eastAsia"/>
        </w:rPr>
        <w:t>十五五</w:t>
      </w:r>
      <w:r>
        <w:rPr>
          <w:rFonts w:hint="eastAsia"/>
          <w:lang w:eastAsia="zh-CN"/>
        </w:rPr>
        <w:t>”</w:t>
      </w:r>
      <w:r>
        <w:rPr>
          <w:rFonts w:hint="eastAsia"/>
        </w:rPr>
        <w:t>期间生产总值年均增速取5.5%，考虑成品油消费与经济增长的相关性以及未来汽车使用天然气、电力、氢能等清洁能源的比例会有所上升，加油站数量增长弹性系数取0.45，则加油站座数增长率为2.5％。</w:t>
      </w:r>
    </w:p>
    <w:p>
      <w:pPr>
        <w:ind w:firstLine="640"/>
      </w:pPr>
      <w:r>
        <w:rPr>
          <w:rFonts w:hint="eastAsia"/>
        </w:rPr>
        <w:t>预测计算公式：</w:t>
      </w:r>
      <m:oMath>
        <m:sSub>
          <m:sSubPr>
            <m:ctrlPr>
              <w:rPr>
                <w:rFonts w:hint="eastAsia" w:ascii="Cambria Math" w:hAnsi="Cambria Math"/>
              </w:rPr>
            </m:ctrlPr>
          </m:sSubPr>
          <m:e>
            <m:r>
              <m:rPr>
                <m:sty m:val="p"/>
              </m:rPr>
              <w:rPr>
                <w:rFonts w:ascii="Cambria Math" w:hAnsi="Cambria Math"/>
              </w:rPr>
              <m:t>y</m:t>
            </m:r>
            <m:ctrlPr>
              <w:rPr>
                <w:rFonts w:hint="eastAsia" w:ascii="Cambria Math" w:hAnsi="Cambria Math"/>
              </w:rPr>
            </m:ctrlPr>
          </m:e>
          <m:sub>
            <m:r>
              <m:rPr>
                <m:sty m:val="p"/>
              </m:rPr>
              <w:rPr>
                <w:rFonts w:ascii="Cambria Math" w:hAnsi="Cambria Math"/>
              </w:rPr>
              <m:t>m</m:t>
            </m:r>
            <m:ctrlPr>
              <w:rPr>
                <w:rFonts w:hint="eastAsia" w:ascii="Cambria Math" w:hAnsi="Cambria Math"/>
              </w:rPr>
            </m:ctrlPr>
          </m:sub>
        </m:sSub>
        <m:r>
          <m:rPr>
            <m:sty m:val="p"/>
          </m:rPr>
          <w:rPr>
            <w:rFonts w:hint="eastAsia" w:ascii="Cambria Math" w:hAnsi="Cambria Math"/>
          </w:rPr>
          <m:t>=</m:t>
        </m:r>
        <m:sSup>
          <m:sSupPr>
            <m:ctrlPr>
              <w:rPr>
                <w:rFonts w:hint="eastAsia" w:ascii="Cambria Math" w:hAnsi="Cambria Math"/>
              </w:rPr>
            </m:ctrlPr>
          </m:sSupPr>
          <m:e>
            <m:r>
              <m:rPr>
                <m:sty m:val="p"/>
              </m:rPr>
              <w:rPr>
                <w:rFonts w:hint="eastAsia" w:ascii="Cambria Math" w:hAnsi="Cambria Math"/>
              </w:rPr>
              <m:t>(1+m)</m:t>
            </m:r>
            <m:ctrlPr>
              <w:rPr>
                <w:rFonts w:hint="eastAsia" w:ascii="Cambria Math" w:hAnsi="Cambria Math"/>
              </w:rPr>
            </m:ctrlPr>
          </m:e>
          <m:sup>
            <m:r>
              <m:rPr>
                <m:sty m:val="p"/>
              </m:rPr>
              <w:rPr>
                <w:rFonts w:ascii="Cambria Math" w:hAnsi="Cambria Math"/>
              </w:rPr>
              <m:t>n</m:t>
            </m:r>
            <m:ctrlPr>
              <w:rPr>
                <w:rFonts w:hint="eastAsia" w:ascii="Cambria Math" w:hAnsi="Cambria Math"/>
              </w:rPr>
            </m:ctrlPr>
          </m:sup>
        </m:sSup>
      </m:oMath>
    </w:p>
    <w:p>
      <w:pPr>
        <w:ind w:firstLine="640"/>
      </w:pPr>
      <m:oMath>
        <m:sSub>
          <m:sSubPr>
            <m:ctrlPr>
              <w:rPr>
                <w:rFonts w:hint="eastAsia" w:ascii="Cambria Math" w:hAnsi="Cambria Math"/>
              </w:rPr>
            </m:ctrlPr>
          </m:sSubPr>
          <m:e>
            <m:r>
              <m:rPr>
                <m:sty m:val="p"/>
              </m:rPr>
              <w:rPr>
                <w:rFonts w:ascii="Cambria Math" w:hAnsi="Cambria Math"/>
              </w:rPr>
              <m:t>y</m:t>
            </m:r>
            <m:ctrlPr>
              <w:rPr>
                <w:rFonts w:hint="eastAsia" w:ascii="Cambria Math" w:hAnsi="Cambria Math"/>
              </w:rPr>
            </m:ctrlPr>
          </m:e>
          <m:sub>
            <m:r>
              <m:rPr>
                <m:sty m:val="p"/>
              </m:rPr>
              <w:rPr>
                <w:rFonts w:ascii="Cambria Math" w:hAnsi="Cambria Math"/>
              </w:rPr>
              <m:t>m</m:t>
            </m:r>
            <m:ctrlPr>
              <w:rPr>
                <w:rFonts w:hint="eastAsia" w:ascii="Cambria Math" w:hAnsi="Cambria Math"/>
              </w:rPr>
            </m:ctrlPr>
          </m:sub>
        </m:sSub>
      </m:oMath>
      <w:r>
        <w:rPr>
          <w:rFonts w:hint="eastAsia"/>
        </w:rPr>
        <w:t>：报告期加油站数量；</w:t>
      </w:r>
    </w:p>
    <w:p>
      <w:pPr>
        <w:ind w:firstLine="640"/>
      </w:pPr>
      <m:oMath>
        <m:sSub>
          <m:sSubPr>
            <m:ctrlPr>
              <w:rPr>
                <w:rFonts w:hint="eastAsia" w:ascii="Cambria Math" w:hAnsi="Cambria Math"/>
              </w:rPr>
            </m:ctrlPr>
          </m:sSubPr>
          <m:e>
            <m:r>
              <m:rPr>
                <m:sty m:val="p"/>
              </m:rPr>
              <w:rPr>
                <w:rFonts w:ascii="Cambria Math" w:hAnsi="Cambria Math"/>
                <w:vertAlign w:val="subscript"/>
              </w:rPr>
              <m:t>y</m:t>
            </m:r>
            <m:ctrlPr>
              <w:rPr>
                <w:rFonts w:hint="eastAsia" w:ascii="Cambria Math" w:hAnsi="Cambria Math"/>
              </w:rPr>
            </m:ctrlPr>
          </m:e>
          <m:sub>
            <m:r>
              <m:rPr>
                <m:sty m:val="p"/>
              </m:rPr>
              <w:rPr>
                <w:rFonts w:ascii="Cambria Math" w:hAnsi="Cambria Math"/>
              </w:rPr>
              <m:t>0</m:t>
            </m:r>
            <m:ctrlPr>
              <w:rPr>
                <w:rFonts w:hint="eastAsia" w:ascii="Cambria Math" w:hAnsi="Cambria Math"/>
              </w:rPr>
            </m:ctrlPr>
          </m:sub>
        </m:sSub>
      </m:oMath>
      <w:r>
        <w:rPr>
          <w:rFonts w:hint="eastAsia"/>
        </w:rPr>
        <w:t>：基期加油站数量，233座；</w:t>
      </w:r>
    </w:p>
    <w:p>
      <w:pPr>
        <w:ind w:firstLine="640"/>
      </w:pPr>
      <m:oMath>
        <m:r>
          <m:rPr>
            <m:sty m:val="p"/>
          </m:rPr>
          <w:rPr>
            <w:rFonts w:hint="eastAsia" w:ascii="Cambria Math" w:hAnsi="Cambria Math"/>
          </w:rPr>
          <m:t>n</m:t>
        </m:r>
      </m:oMath>
      <w:r>
        <w:rPr>
          <w:rFonts w:hint="eastAsia"/>
        </w:rPr>
        <w:t>：时间段，5年；</w:t>
      </w:r>
    </w:p>
    <w:p>
      <w:pPr>
        <w:ind w:firstLine="640"/>
      </w:pPr>
      <m:oMath>
        <m:r>
          <m:rPr>
            <m:sty m:val="p"/>
          </m:rPr>
          <w:rPr>
            <w:rFonts w:hint="eastAsia" w:ascii="Cambria Math" w:hAnsi="Cambria Math"/>
          </w:rPr>
          <m:t>m</m:t>
        </m:r>
      </m:oMath>
      <w:r>
        <w:rPr>
          <w:rFonts w:hint="eastAsia"/>
        </w:rPr>
        <w:t>：增长率，2.5％；</w:t>
      </w:r>
    </w:p>
    <w:p>
      <w:pPr>
        <w:ind w:firstLine="640"/>
      </w:pPr>
      <w:r>
        <w:rPr>
          <w:rFonts w:hint="eastAsia"/>
        </w:rPr>
        <w:t>（2）根据销售量预测</w:t>
      </w:r>
    </w:p>
    <w:p>
      <w:pPr>
        <w:ind w:firstLine="640"/>
      </w:pPr>
      <w:r>
        <w:rPr>
          <w:rFonts w:hint="eastAsia"/>
        </w:rPr>
        <w:t>2025年全市加油站单站年加油量约为0.2605万吨，依照加油站规划总量控制指标，应保证平均单站加油量不低于目前平均水平。成品油销售量预测加油站点模型：</w:t>
      </w:r>
    </w:p>
    <w:p>
      <w:pPr>
        <w:ind w:firstLine="640"/>
      </w:pPr>
      <w:bookmarkStart w:id="74" w:name="OLE_LINK5"/>
      <m:oMath>
        <m:sSub>
          <m:sSubPr>
            <m:ctrlPr>
              <w:rPr>
                <w:rFonts w:hint="eastAsia" w:ascii="Cambria Math" w:hAnsi="Cambria Math"/>
              </w:rPr>
            </m:ctrlPr>
          </m:sSubPr>
          <m:e>
            <m:r>
              <m:rPr>
                <m:sty m:val="p"/>
              </m:rPr>
              <w:rPr>
                <w:rFonts w:hint="eastAsia" w:ascii="Cambria Math" w:hAnsi="Cambria Math"/>
              </w:rPr>
              <m:t>D</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w:t>
      </w:r>
      <m:oMath>
        <m:sSub>
          <m:sSubPr>
            <m:ctrlPr>
              <w:rPr>
                <w:rFonts w:hint="eastAsia" w:ascii="Cambria Math" w:hAnsi="Cambria Math"/>
              </w:rPr>
            </m:ctrlPr>
          </m:sSubPr>
          <m:e>
            <m:r>
              <m:rPr>
                <m:sty m:val="p"/>
              </m:rPr>
              <w:rPr>
                <w:rFonts w:ascii="Cambria Math" w:hAnsi="Cambria Math"/>
              </w:rPr>
              <m:t>X</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w:t>
      </w:r>
      <m:oMath>
        <m:sSub>
          <m:sSubPr>
            <m:ctrlPr>
              <w:rPr>
                <w:rFonts w:hint="eastAsia" w:ascii="Cambria Math" w:hAnsi="Cambria Math"/>
              </w:rPr>
            </m:ctrlPr>
          </m:sSubPr>
          <m:e>
            <m:r>
              <m:rPr>
                <m:sty m:val="p"/>
              </m:rPr>
              <w:rPr>
                <w:rFonts w:ascii="Cambria Math" w:hAnsi="Cambria Math"/>
              </w:rPr>
              <m:t>T</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p>
    <w:bookmarkEnd w:id="74"/>
    <w:p>
      <w:pPr>
        <w:ind w:firstLine="640"/>
      </w:pPr>
      <m:oMath>
        <m:sSub>
          <m:sSubPr>
            <m:ctrlPr>
              <w:rPr>
                <w:rFonts w:hint="eastAsia" w:ascii="Cambria Math" w:hAnsi="Cambria Math"/>
              </w:rPr>
            </m:ctrlPr>
          </m:sSubPr>
          <m:e>
            <m:r>
              <m:rPr>
                <m:sty m:val="p"/>
              </m:rPr>
              <w:rPr>
                <w:rFonts w:hint="eastAsia" w:ascii="Cambria Math" w:hAnsi="Cambria Math"/>
              </w:rPr>
              <m:t>D</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：第</w:t>
      </w:r>
      <m:oMath>
        <m:r>
          <m:rPr>
            <m:sty m:val="p"/>
          </m:rPr>
          <w:rPr>
            <w:rFonts w:hint="eastAsia" w:ascii="Cambria Math" w:hAnsi="Cambria Math"/>
          </w:rPr>
          <m:t>i</m:t>
        </m:r>
      </m:oMath>
      <w:r>
        <w:rPr>
          <w:rFonts w:hint="eastAsia"/>
        </w:rPr>
        <w:t>年加油站点数（座）；</w:t>
      </w:r>
    </w:p>
    <w:p>
      <w:pPr>
        <w:ind w:firstLine="640"/>
      </w:pPr>
      <m:oMath>
        <m:sSub>
          <m:sSubPr>
            <m:ctrlPr>
              <w:rPr>
                <w:rFonts w:hint="eastAsia" w:ascii="Cambria Math" w:hAnsi="Cambria Math"/>
              </w:rPr>
            </m:ctrlPr>
          </m:sSubPr>
          <m:e>
            <m:r>
              <m:rPr>
                <m:sty m:val="p"/>
              </m:rPr>
              <w:rPr>
                <w:rFonts w:ascii="Cambria Math" w:hAnsi="Cambria Math"/>
              </w:rPr>
              <m:t>X</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：第</w:t>
      </w:r>
      <m:oMath>
        <m:r>
          <m:rPr>
            <m:sty m:val="p"/>
          </m:rPr>
          <w:rPr>
            <w:rFonts w:hint="eastAsia" w:ascii="Cambria Math" w:hAnsi="Cambria Math"/>
          </w:rPr>
          <m:t>i</m:t>
        </m:r>
      </m:oMath>
      <w:r>
        <w:rPr>
          <w:rFonts w:hint="eastAsia"/>
        </w:rPr>
        <w:t>年加油站总成品油销售量预测值（万吨）；</w:t>
      </w:r>
    </w:p>
    <w:p>
      <w:pPr>
        <w:ind w:firstLine="640"/>
      </w:pPr>
      <m:oMath>
        <m:sSub>
          <m:sSubPr>
            <m:ctrlPr>
              <w:rPr>
                <w:rFonts w:hint="eastAsia" w:ascii="Cambria Math" w:hAnsi="Cambria Math"/>
              </w:rPr>
            </m:ctrlPr>
          </m:sSubPr>
          <m:e>
            <m:r>
              <m:rPr>
                <m:sty m:val="p"/>
              </m:rPr>
              <w:rPr>
                <w:rFonts w:ascii="Cambria Math" w:hAnsi="Cambria Math"/>
              </w:rPr>
              <m:t>T</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：第</w:t>
      </w:r>
      <m:oMath>
        <m:r>
          <m:rPr>
            <m:sty m:val="p"/>
          </m:rPr>
          <w:rPr>
            <w:rFonts w:hint="eastAsia" w:ascii="Cambria Math" w:hAnsi="Cambria Math"/>
          </w:rPr>
          <m:t>i</m:t>
        </m:r>
      </m:oMath>
      <w:r>
        <w:rPr>
          <w:rFonts w:hint="eastAsia"/>
        </w:rPr>
        <w:t>年单站加油站年平均销售量预测值（万吨）。</w:t>
      </w:r>
    </w:p>
    <w:p>
      <w:pPr>
        <w:ind w:firstLine="640"/>
      </w:pPr>
      <w:r>
        <w:rPr>
          <w:rFonts w:hint="eastAsia"/>
        </w:rPr>
        <w:t>（3）根据机动车保有量预测</w:t>
      </w:r>
    </w:p>
    <w:p>
      <w:pPr>
        <w:ind w:firstLine="640"/>
      </w:pPr>
      <w:r>
        <w:rPr>
          <w:rFonts w:hint="eastAsia"/>
        </w:rPr>
        <w:t>2025年全市燃油机动车保有量为77.79万辆，每个加油站平均服务机动车约3338辆，依照加油站规划总量控制指标，应保证平均单站加油量不低于目前平均水平。根据历史数据计算单站加油站服务机动车辆增长率，预测加油站点模型。按照历史数据，估算近期单站服务燃油机动车增速约为3.6%、远期为0.5%。</w:t>
      </w:r>
    </w:p>
    <w:p>
      <w:pPr>
        <w:ind w:firstLine="640"/>
        <w:rPr>
          <w:rFonts w:hAnsi="Cambria Math"/>
        </w:rPr>
      </w:pPr>
      <m:oMath>
        <m:sSub>
          <m:sSubPr>
            <m:ctrlPr>
              <w:rPr>
                <w:rFonts w:hint="eastAsia" w:ascii="Cambria Math" w:hAnsi="Cambria Math"/>
              </w:rPr>
            </m:ctrlPr>
          </m:sSubPr>
          <m:e>
            <m:r>
              <m:rPr>
                <m:sty m:val="p"/>
              </m:rPr>
              <w:rPr>
                <w:rFonts w:hint="eastAsia" w:ascii="Cambria Math" w:hAnsi="Cambria Math"/>
              </w:rPr>
              <m:t>D</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w:t>
      </w:r>
      <m:oMath>
        <m:sSub>
          <m:sSubPr>
            <m:ctrlPr>
              <w:rPr>
                <w:rFonts w:hint="eastAsia" w:ascii="Cambria Math" w:hAnsi="Cambria Math"/>
              </w:rPr>
            </m:ctrlPr>
          </m:sSubPr>
          <m:e>
            <m:r>
              <m:rPr>
                <m:sty m:val="p"/>
              </m:rPr>
              <w:rPr>
                <w:rFonts w:ascii="Cambria Math" w:hAnsi="Cambria Math"/>
              </w:rPr>
              <m:t>X</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w:t>
      </w:r>
      <m:oMath>
        <m:sSub>
          <m:sSubPr>
            <m:ctrlPr>
              <w:rPr>
                <w:rFonts w:hint="eastAsia" w:ascii="Cambria Math" w:hAnsi="Cambria Math"/>
              </w:rPr>
            </m:ctrlPr>
          </m:sSubPr>
          <m:e>
            <m:r>
              <m:rPr>
                <m:sty m:val="p"/>
              </m:rPr>
              <w:rPr>
                <w:rFonts w:ascii="Cambria Math" w:hAnsi="Cambria Math"/>
              </w:rPr>
              <m:t>T</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p>
    <w:p>
      <w:pPr>
        <w:ind w:firstLine="640"/>
      </w:pPr>
      <m:oMath>
        <m:sSub>
          <m:sSubPr>
            <m:ctrlPr>
              <w:rPr>
                <w:rFonts w:hint="eastAsia" w:ascii="Cambria Math" w:hAnsi="Cambria Math"/>
              </w:rPr>
            </m:ctrlPr>
          </m:sSubPr>
          <m:e>
            <m:r>
              <m:rPr>
                <m:sty m:val="p"/>
              </m:rPr>
              <w:rPr>
                <w:rFonts w:hint="eastAsia" w:ascii="Cambria Math" w:hAnsi="Cambria Math"/>
              </w:rPr>
              <m:t>D</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：第</w:t>
      </w:r>
      <m:oMath>
        <m:r>
          <m:rPr>
            <m:sty m:val="p"/>
          </m:rPr>
          <w:rPr>
            <w:rFonts w:hint="eastAsia" w:ascii="Cambria Math" w:hAnsi="Cambria Math"/>
          </w:rPr>
          <m:t>i</m:t>
        </m:r>
      </m:oMath>
      <w:r>
        <w:rPr>
          <w:rFonts w:hint="eastAsia"/>
        </w:rPr>
        <w:t>年加油站点数（座）；</w:t>
      </w:r>
    </w:p>
    <w:p>
      <w:pPr>
        <w:ind w:firstLine="640"/>
      </w:pPr>
      <m:oMath>
        <m:sSub>
          <m:sSubPr>
            <m:ctrlPr>
              <w:rPr>
                <w:rFonts w:hint="eastAsia" w:ascii="Cambria Math" w:hAnsi="Cambria Math"/>
              </w:rPr>
            </m:ctrlPr>
          </m:sSubPr>
          <m:e>
            <m:r>
              <m:rPr>
                <m:sty m:val="p"/>
              </m:rPr>
              <w:rPr>
                <w:rFonts w:ascii="Cambria Math" w:hAnsi="Cambria Math"/>
              </w:rPr>
              <m:t>X</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：第</w:t>
      </w:r>
      <m:oMath>
        <m:r>
          <m:rPr>
            <m:sty m:val="p"/>
          </m:rPr>
          <w:rPr>
            <w:rFonts w:hint="eastAsia" w:ascii="Cambria Math" w:hAnsi="Cambria Math"/>
          </w:rPr>
          <m:t>i</m:t>
        </m:r>
      </m:oMath>
      <w:r>
        <w:rPr>
          <w:rFonts w:hint="eastAsia"/>
        </w:rPr>
        <w:t>年机动车预测值（2030年81.8万辆、2035年76.4万辆）；</w:t>
      </w:r>
    </w:p>
    <w:p>
      <w:pPr>
        <w:ind w:firstLine="640"/>
      </w:pPr>
      <m:oMath>
        <m:sSub>
          <m:sSubPr>
            <m:ctrlPr>
              <w:rPr>
                <w:rFonts w:hint="eastAsia" w:ascii="Cambria Math" w:hAnsi="Cambria Math"/>
              </w:rPr>
            </m:ctrlPr>
          </m:sSubPr>
          <m:e>
            <m:r>
              <m:rPr>
                <m:sty m:val="p"/>
              </m:rPr>
              <w:rPr>
                <w:rFonts w:ascii="Cambria Math" w:hAnsi="Cambria Math"/>
              </w:rPr>
              <m:t>T</m:t>
            </m:r>
            <m:ctrlPr>
              <w:rPr>
                <w:rFonts w:hint="eastAsia" w:ascii="Cambria Math" w:hAnsi="Cambria Math"/>
              </w:rPr>
            </m:ctrlPr>
          </m:e>
          <m:sub>
            <m:r>
              <m:rPr>
                <m:sty m:val="p"/>
              </m:rPr>
              <w:rPr>
                <w:rFonts w:ascii="Cambria Math" w:hAnsi="Cambria Math"/>
              </w:rPr>
              <m:t>i</m:t>
            </m:r>
            <m:ctrlPr>
              <w:rPr>
                <w:rFonts w:hint="eastAsia" w:ascii="Cambria Math" w:hAnsi="Cambria Math"/>
              </w:rPr>
            </m:ctrlPr>
          </m:sub>
        </m:sSub>
      </m:oMath>
      <w:r>
        <w:rPr>
          <w:rFonts w:hint="eastAsia"/>
        </w:rPr>
        <w:t>：第</w:t>
      </w:r>
      <m:oMath>
        <m:r>
          <m:rPr>
            <m:sty m:val="p"/>
          </m:rPr>
          <w:rPr>
            <w:rFonts w:hint="eastAsia" w:ascii="Cambria Math" w:hAnsi="Cambria Math"/>
          </w:rPr>
          <m:t>i</m:t>
        </m:r>
      </m:oMath>
      <w:r>
        <w:rPr>
          <w:rFonts w:hint="eastAsia"/>
        </w:rPr>
        <w:t>年单站加油站年平均服务机动车预测值（辆）。</w:t>
      </w:r>
    </w:p>
    <w:p>
      <w:pPr>
        <w:pStyle w:val="28"/>
      </w:pPr>
      <w:r>
        <w:rPr>
          <w:rFonts w:hint="eastAsia"/>
        </w:rPr>
        <w:t>六盘水市加油站点新增需求预测</w:t>
      </w:r>
    </w:p>
    <w:tbl>
      <w:tblPr>
        <w:tblStyle w:val="21"/>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895"/>
        <w:gridCol w:w="3608"/>
        <w:gridCol w:w="36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040" w:type="pct"/>
            <w:vAlign w:val="center"/>
          </w:tcPr>
          <w:p>
            <w:pPr>
              <w:spacing w:line="480" w:lineRule="exact"/>
              <w:ind w:firstLine="0" w:firstLineChars="0"/>
              <w:jc w:val="center"/>
              <w:rPr>
                <w:rFonts w:cs="Times New Roman"/>
                <w:b/>
                <w:bCs/>
                <w:sz w:val="24"/>
                <w:szCs w:val="24"/>
              </w:rPr>
            </w:pPr>
            <w:r>
              <w:rPr>
                <w:rFonts w:hint="eastAsia" w:cs="Times New Roman"/>
                <w:b/>
                <w:bCs/>
                <w:sz w:val="24"/>
                <w:szCs w:val="24"/>
              </w:rPr>
              <w:t>分类</w:t>
            </w:r>
          </w:p>
        </w:tc>
        <w:tc>
          <w:tcPr>
            <w:tcW w:w="1980" w:type="pct"/>
            <w:vAlign w:val="center"/>
          </w:tcPr>
          <w:p>
            <w:pPr>
              <w:spacing w:line="480" w:lineRule="exact"/>
              <w:ind w:firstLine="0" w:firstLineChars="0"/>
              <w:jc w:val="center"/>
              <w:rPr>
                <w:rFonts w:cs="Times New Roman"/>
                <w:b/>
                <w:bCs/>
                <w:sz w:val="24"/>
                <w:szCs w:val="24"/>
              </w:rPr>
            </w:pPr>
            <w:r>
              <w:rPr>
                <w:rFonts w:hint="eastAsia" w:cs="Times New Roman"/>
                <w:b/>
                <w:bCs/>
                <w:sz w:val="24"/>
                <w:szCs w:val="24"/>
              </w:rPr>
              <w:t>2026—2030年预测值（座）</w:t>
            </w:r>
          </w:p>
        </w:tc>
        <w:tc>
          <w:tcPr>
            <w:tcW w:w="1980" w:type="pct"/>
            <w:vAlign w:val="center"/>
          </w:tcPr>
          <w:p>
            <w:pPr>
              <w:spacing w:line="480" w:lineRule="exact"/>
              <w:ind w:firstLine="0" w:firstLineChars="0"/>
              <w:jc w:val="center"/>
              <w:rPr>
                <w:rFonts w:cs="Times New Roman"/>
                <w:b/>
                <w:bCs/>
                <w:sz w:val="24"/>
                <w:szCs w:val="24"/>
              </w:rPr>
            </w:pPr>
            <w:r>
              <w:rPr>
                <w:rFonts w:hint="eastAsia" w:cs="Times New Roman"/>
                <w:b/>
                <w:bCs/>
                <w:sz w:val="24"/>
                <w:szCs w:val="24"/>
              </w:rPr>
              <w:t>2031—2035年预测值（座）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040" w:type="pct"/>
            <w:vAlign w:val="center"/>
          </w:tcPr>
          <w:p>
            <w:pPr>
              <w:spacing w:line="480" w:lineRule="exact"/>
              <w:ind w:firstLine="0" w:firstLineChars="0"/>
              <w:jc w:val="center"/>
              <w:rPr>
                <w:rFonts w:cs="Times New Roman"/>
                <w:sz w:val="24"/>
                <w:szCs w:val="24"/>
              </w:rPr>
            </w:pPr>
            <w:r>
              <w:rPr>
                <w:rFonts w:cs="Times New Roman"/>
                <w:sz w:val="24"/>
                <w:szCs w:val="24"/>
              </w:rPr>
              <w:t>经济系数法</w:t>
            </w:r>
          </w:p>
        </w:tc>
        <w:tc>
          <w:tcPr>
            <w:tcW w:w="1980" w:type="pct"/>
            <w:vAlign w:val="center"/>
          </w:tcPr>
          <w:p>
            <w:pPr>
              <w:spacing w:line="480" w:lineRule="exact"/>
              <w:ind w:firstLine="0" w:firstLineChars="0"/>
              <w:jc w:val="center"/>
              <w:rPr>
                <w:rFonts w:cs="Times New Roman"/>
                <w:sz w:val="24"/>
                <w:szCs w:val="24"/>
              </w:rPr>
            </w:pPr>
            <w:r>
              <w:rPr>
                <w:rFonts w:hint="eastAsia" w:cs="Times New Roman"/>
                <w:sz w:val="24"/>
                <w:szCs w:val="24"/>
              </w:rPr>
              <w:t>30</w:t>
            </w:r>
          </w:p>
        </w:tc>
        <w:tc>
          <w:tcPr>
            <w:tcW w:w="1980" w:type="pct"/>
            <w:vAlign w:val="center"/>
          </w:tcPr>
          <w:p>
            <w:pPr>
              <w:spacing w:line="480" w:lineRule="exact"/>
              <w:ind w:firstLine="0" w:firstLineChars="0"/>
              <w:jc w:val="center"/>
              <w:rPr>
                <w:rFonts w:cs="Times New Roman"/>
                <w:sz w:val="24"/>
                <w:szCs w:val="24"/>
              </w:rPr>
            </w:pPr>
            <w:r>
              <w:rPr>
                <w:rFonts w:hint="eastAsia" w:cs="Times New Roman"/>
                <w:sz w:val="24"/>
                <w:szCs w:val="24"/>
              </w:rP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040" w:type="pct"/>
            <w:vAlign w:val="center"/>
          </w:tcPr>
          <w:p>
            <w:pPr>
              <w:spacing w:line="480" w:lineRule="exact"/>
              <w:ind w:firstLine="0" w:firstLineChars="0"/>
              <w:jc w:val="center"/>
              <w:rPr>
                <w:rFonts w:cs="Times New Roman"/>
                <w:sz w:val="24"/>
                <w:szCs w:val="24"/>
              </w:rPr>
            </w:pPr>
            <w:r>
              <w:rPr>
                <w:rFonts w:cs="Times New Roman"/>
                <w:sz w:val="24"/>
                <w:szCs w:val="24"/>
              </w:rPr>
              <w:t>销售量</w:t>
            </w:r>
          </w:p>
        </w:tc>
        <w:tc>
          <w:tcPr>
            <w:tcW w:w="1980" w:type="pct"/>
            <w:vAlign w:val="center"/>
          </w:tcPr>
          <w:p>
            <w:pPr>
              <w:spacing w:line="480" w:lineRule="exact"/>
              <w:ind w:firstLine="0" w:firstLineChars="0"/>
              <w:jc w:val="center"/>
              <w:rPr>
                <w:rFonts w:cs="Times New Roman"/>
                <w:sz w:val="24"/>
                <w:szCs w:val="24"/>
              </w:rPr>
            </w:pPr>
            <w:r>
              <w:rPr>
                <w:rFonts w:hint="eastAsia" w:cs="Times New Roman"/>
                <w:sz w:val="24"/>
                <w:szCs w:val="24"/>
              </w:rPr>
              <w:t>6</w:t>
            </w:r>
          </w:p>
        </w:tc>
        <w:tc>
          <w:tcPr>
            <w:tcW w:w="1980" w:type="pct"/>
            <w:vAlign w:val="center"/>
          </w:tcPr>
          <w:p>
            <w:pPr>
              <w:spacing w:line="480" w:lineRule="exact"/>
              <w:ind w:firstLine="0" w:firstLineChars="0"/>
              <w:jc w:val="center"/>
              <w:rPr>
                <w:rFonts w:cs="Times New Roman"/>
                <w:sz w:val="24"/>
                <w:szCs w:val="24"/>
              </w:rPr>
            </w:pPr>
            <w:r>
              <w:rPr>
                <w:rFonts w:hint="eastAsia" w:cs="Times New Roman"/>
                <w:sz w:val="24"/>
                <w:szCs w:val="24"/>
              </w:rPr>
              <w:t>-1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040" w:type="pct"/>
            <w:vAlign w:val="center"/>
          </w:tcPr>
          <w:p>
            <w:pPr>
              <w:spacing w:line="480" w:lineRule="exact"/>
              <w:ind w:firstLine="0" w:firstLineChars="0"/>
              <w:jc w:val="center"/>
              <w:rPr>
                <w:rFonts w:cs="Times New Roman"/>
                <w:sz w:val="24"/>
                <w:szCs w:val="24"/>
              </w:rPr>
            </w:pPr>
            <w:r>
              <w:rPr>
                <w:rFonts w:cs="Times New Roman"/>
                <w:sz w:val="24"/>
                <w:szCs w:val="24"/>
              </w:rPr>
              <w:t>机动车保有量</w:t>
            </w:r>
          </w:p>
        </w:tc>
        <w:tc>
          <w:tcPr>
            <w:tcW w:w="1980" w:type="pct"/>
            <w:vAlign w:val="center"/>
          </w:tcPr>
          <w:p>
            <w:pPr>
              <w:spacing w:line="480" w:lineRule="exact"/>
              <w:ind w:firstLine="0" w:firstLineChars="0"/>
              <w:jc w:val="center"/>
              <w:rPr>
                <w:rFonts w:cs="Times New Roman"/>
                <w:sz w:val="24"/>
                <w:szCs w:val="24"/>
              </w:rPr>
            </w:pPr>
            <w:r>
              <w:rPr>
                <w:rFonts w:hint="eastAsia" w:cs="Times New Roman"/>
                <w:sz w:val="24"/>
                <w:szCs w:val="24"/>
              </w:rPr>
              <w:t>5</w:t>
            </w:r>
          </w:p>
        </w:tc>
        <w:tc>
          <w:tcPr>
            <w:tcW w:w="1980" w:type="pct"/>
            <w:vAlign w:val="center"/>
          </w:tcPr>
          <w:p>
            <w:pPr>
              <w:spacing w:line="480" w:lineRule="exact"/>
              <w:ind w:firstLine="0" w:firstLineChars="0"/>
              <w:jc w:val="center"/>
              <w:rPr>
                <w:rFonts w:cs="Times New Roman"/>
                <w:sz w:val="24"/>
                <w:szCs w:val="24"/>
              </w:rPr>
            </w:pPr>
            <w:r>
              <w:rPr>
                <w:rFonts w:hint="eastAsia" w:cs="Times New Roman"/>
                <w:sz w:val="24"/>
                <w:szCs w:val="24"/>
              </w:rP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040" w:type="pct"/>
            <w:vAlign w:val="center"/>
          </w:tcPr>
          <w:p>
            <w:pPr>
              <w:spacing w:line="480" w:lineRule="exact"/>
              <w:ind w:firstLine="0" w:firstLineChars="0"/>
              <w:jc w:val="center"/>
              <w:rPr>
                <w:rFonts w:cs="Times New Roman"/>
                <w:b/>
                <w:bCs/>
                <w:sz w:val="24"/>
                <w:szCs w:val="24"/>
              </w:rPr>
            </w:pPr>
            <w:r>
              <w:rPr>
                <w:rFonts w:hint="eastAsia" w:cs="Times New Roman"/>
                <w:b/>
                <w:bCs/>
                <w:sz w:val="24"/>
                <w:szCs w:val="24"/>
              </w:rPr>
              <w:t>调整确定值</w:t>
            </w:r>
          </w:p>
        </w:tc>
        <w:tc>
          <w:tcPr>
            <w:tcW w:w="1980" w:type="pct"/>
            <w:vAlign w:val="center"/>
          </w:tcPr>
          <w:p>
            <w:pPr>
              <w:spacing w:line="480" w:lineRule="exact"/>
              <w:ind w:firstLine="0" w:firstLineChars="0"/>
              <w:jc w:val="center"/>
              <w:rPr>
                <w:rFonts w:hint="default" w:eastAsia="仿宋_GB2312" w:cs="Times New Roman"/>
                <w:b/>
                <w:bCs/>
                <w:sz w:val="24"/>
                <w:szCs w:val="24"/>
                <w:lang w:val="en-US" w:eastAsia="zh-CN"/>
              </w:rPr>
            </w:pPr>
            <w:r>
              <w:rPr>
                <w:rFonts w:hint="eastAsia" w:cs="Times New Roman"/>
                <w:b/>
                <w:bCs/>
                <w:sz w:val="24"/>
                <w:szCs w:val="24"/>
                <w:lang w:val="en-US" w:eastAsia="zh-CN"/>
              </w:rPr>
              <w:t>29</w:t>
            </w:r>
          </w:p>
        </w:tc>
        <w:tc>
          <w:tcPr>
            <w:tcW w:w="1980" w:type="pct"/>
            <w:vAlign w:val="center"/>
          </w:tcPr>
          <w:p>
            <w:pPr>
              <w:spacing w:line="480" w:lineRule="exact"/>
              <w:ind w:firstLine="0" w:firstLineChars="0"/>
              <w:jc w:val="center"/>
              <w:rPr>
                <w:rFonts w:cs="Times New Roman"/>
                <w:b/>
                <w:bCs/>
                <w:sz w:val="24"/>
                <w:szCs w:val="24"/>
              </w:rPr>
            </w:pPr>
            <w:r>
              <w:rPr>
                <w:rFonts w:cs="Times New Roman"/>
                <w:b/>
                <w:bCs/>
                <w:sz w:val="24"/>
                <w:szCs w:val="24"/>
              </w:rPr>
              <w:t>6</w:t>
            </w:r>
          </w:p>
        </w:tc>
      </w:tr>
    </w:tbl>
    <w:p>
      <w:pPr>
        <w:ind w:firstLine="640"/>
      </w:pPr>
      <w:r>
        <w:rPr>
          <w:rFonts w:hint="eastAsia"/>
        </w:rPr>
        <w:t>（4）高速公路车流量测算说明</w:t>
      </w:r>
    </w:p>
    <w:p>
      <w:pPr>
        <w:ind w:firstLine="640"/>
      </w:pPr>
      <w:r>
        <w:rPr>
          <w:rFonts w:hint="eastAsia"/>
        </w:rPr>
        <w:t>六盘水市高速公路网作为区域物流、过境货运的核心通道，高速出入口及沿线是机动车补能的重要场景，过境车流是加油站需求的重要组成部分。本次结合市域高速公路现状及规划车流量数据，重点对高速出入口周边规划站点的服务车流规模开展校核分析。高速车流中货车占比偏高，成品油补能需求突出，该部分需求已间接纳入全市机动车保有量、成品油销量统计范畴，作为总量预测的辅助支撑。本次测算重点用于指导高速沿线加油站空间布局、点位选址，校验高速出入口站点单站负荷合理性，不调整全市加油站总预测规模，进一步印证规划站点总量与市域综合补能需求的适配性。</w:t>
      </w:r>
    </w:p>
    <w:p>
      <w:pPr>
        <w:ind w:firstLine="640"/>
      </w:pPr>
      <w:r>
        <w:rPr>
          <w:rFonts w:hint="eastAsia"/>
        </w:rPr>
        <w:t>三种方法交叉验证，再考虑通过交通干线拓展、空白乡镇填补等因素后，2026—2030年新增需求预测为</w:t>
      </w:r>
      <w:r>
        <w:rPr>
          <w:rFonts w:hint="eastAsia"/>
          <w:lang w:val="en-US" w:eastAsia="zh-CN"/>
        </w:rPr>
        <w:t>29</w:t>
      </w:r>
      <w:r>
        <w:rPr>
          <w:rFonts w:hint="eastAsia"/>
        </w:rPr>
        <w:t>座。具体依据如下：</w:t>
      </w:r>
    </w:p>
    <w:p>
      <w:pPr>
        <w:ind w:firstLine="643"/>
        <w:rPr>
          <w:b/>
          <w:bCs/>
        </w:rPr>
      </w:pPr>
      <w:r>
        <w:rPr>
          <w:rFonts w:hint="eastAsia"/>
          <w:b/>
          <w:bCs/>
        </w:rPr>
        <w:t>发展趋势：</w:t>
      </w:r>
      <w:r>
        <w:rPr>
          <w:rFonts w:hint="eastAsia"/>
        </w:rPr>
        <w:t>成品油消费趋势已发生根本性变化，全市新能源汽车保有量年均增速高达</w:t>
      </w:r>
      <w:r>
        <w:t>62.6%</w:t>
      </w:r>
      <w:r>
        <w:rPr>
          <w:rFonts w:hint="eastAsia"/>
        </w:rPr>
        <w:t>。按此趋势，成品油市场将延续</w:t>
      </w:r>
      <w:r>
        <w:rPr>
          <w:rFonts w:hint="eastAsia"/>
          <w:lang w:eastAsia="zh-CN"/>
        </w:rPr>
        <w:t>“</w:t>
      </w:r>
      <w:r>
        <w:rPr>
          <w:rFonts w:hint="eastAsia"/>
        </w:rPr>
        <w:t>短期刚性托底、长期稳步下行</w:t>
      </w:r>
      <w:r>
        <w:rPr>
          <w:rFonts w:hint="eastAsia"/>
          <w:lang w:eastAsia="zh-CN"/>
        </w:rPr>
        <w:t>”</w:t>
      </w:r>
      <w:r>
        <w:rPr>
          <w:rFonts w:hint="eastAsia"/>
        </w:rPr>
        <w:t>发展态势，存量竞争特征愈发明显。</w:t>
      </w:r>
    </w:p>
    <w:p>
      <w:pPr>
        <w:ind w:firstLine="643"/>
      </w:pPr>
      <w:r>
        <w:rPr>
          <w:rFonts w:hint="eastAsia"/>
          <w:b/>
          <w:bCs/>
        </w:rPr>
        <w:t>省级要求：</w:t>
      </w:r>
      <w:r>
        <w:rPr>
          <w:rFonts w:hint="eastAsia"/>
        </w:rPr>
        <w:t>根据《省商务厅关于做好成品油（气）分销体系</w:t>
      </w:r>
      <w:r>
        <w:rPr>
          <w:rFonts w:hint="eastAsia"/>
          <w:lang w:eastAsia="zh-CN"/>
        </w:rPr>
        <w:t>“</w:t>
      </w:r>
      <w:r>
        <w:rPr>
          <w:rFonts w:hint="eastAsia"/>
        </w:rPr>
        <w:t>十五五</w:t>
      </w:r>
      <w:r>
        <w:rPr>
          <w:rFonts w:hint="eastAsia"/>
          <w:lang w:eastAsia="zh-CN"/>
        </w:rPr>
        <w:t>”</w:t>
      </w:r>
      <w:r>
        <w:rPr>
          <w:rFonts w:hint="eastAsia"/>
        </w:rPr>
        <w:t>发展规划编制工作的通知》（黔商发〔2025〕20号）要求，规划期内原则上不新增零售网点。原已批准未建的站点布点资格，不再自动顺延至本规划期；确需继续建设的，须按本规划新增指标重新申报核准。核心导向已从</w:t>
      </w:r>
      <w:r>
        <w:rPr>
          <w:rFonts w:hint="eastAsia"/>
          <w:lang w:eastAsia="zh-CN"/>
        </w:rPr>
        <w:t>“</w:t>
      </w:r>
      <w:r>
        <w:rPr>
          <w:rFonts w:hint="eastAsia"/>
        </w:rPr>
        <w:t>增量扩张</w:t>
      </w:r>
      <w:r>
        <w:rPr>
          <w:rFonts w:hint="eastAsia"/>
          <w:lang w:eastAsia="zh-CN"/>
        </w:rPr>
        <w:t>”</w:t>
      </w:r>
      <w:r>
        <w:rPr>
          <w:rFonts w:hint="eastAsia"/>
        </w:rPr>
        <w:t>转向</w:t>
      </w:r>
      <w:r>
        <w:rPr>
          <w:rFonts w:hint="eastAsia"/>
          <w:lang w:eastAsia="zh-CN"/>
        </w:rPr>
        <w:t>“</w:t>
      </w:r>
      <w:r>
        <w:rPr>
          <w:rFonts w:hint="eastAsia"/>
        </w:rPr>
        <w:t>存量优化</w:t>
      </w:r>
      <w:r>
        <w:rPr>
          <w:rFonts w:hint="eastAsia"/>
          <w:lang w:eastAsia="zh-CN"/>
        </w:rPr>
        <w:t>”</w:t>
      </w:r>
      <w:r>
        <w:rPr>
          <w:rFonts w:hint="eastAsia"/>
        </w:rPr>
        <w:t>。</w:t>
      </w:r>
    </w:p>
    <w:p>
      <w:pPr>
        <w:ind w:firstLine="643"/>
      </w:pPr>
      <w:r>
        <w:rPr>
          <w:rFonts w:hint="eastAsia"/>
          <w:b/>
          <w:bCs/>
        </w:rPr>
        <w:t>市级需求：</w:t>
      </w:r>
      <w:r>
        <w:rPr>
          <w:rFonts w:hint="eastAsia"/>
        </w:rPr>
        <w:t>六盘水正处于从</w:t>
      </w:r>
      <w:r>
        <w:rPr>
          <w:rFonts w:hint="eastAsia"/>
          <w:lang w:eastAsia="zh-CN"/>
        </w:rPr>
        <w:t>“</w:t>
      </w:r>
      <w:r>
        <w:rPr>
          <w:rFonts w:hint="eastAsia"/>
        </w:rPr>
        <w:t>江南煤都</w:t>
      </w:r>
      <w:r>
        <w:rPr>
          <w:rFonts w:hint="eastAsia"/>
          <w:lang w:eastAsia="zh-CN"/>
        </w:rPr>
        <w:t>”</w:t>
      </w:r>
      <w:r>
        <w:rPr>
          <w:rFonts w:hint="eastAsia"/>
        </w:rPr>
        <w:t>向</w:t>
      </w:r>
      <w:r>
        <w:rPr>
          <w:rFonts w:hint="eastAsia"/>
          <w:lang w:eastAsia="zh-CN"/>
        </w:rPr>
        <w:t>“</w:t>
      </w:r>
      <w:r>
        <w:rPr>
          <w:rFonts w:hint="eastAsia"/>
        </w:rPr>
        <w:t>生态绿都</w:t>
      </w:r>
      <w:r>
        <w:rPr>
          <w:rFonts w:hint="eastAsia"/>
          <w:lang w:eastAsia="zh-CN"/>
        </w:rPr>
        <w:t>”</w:t>
      </w:r>
      <w:r>
        <w:rPr>
          <w:rFonts w:hint="eastAsia"/>
        </w:rPr>
        <w:t>转型关键期，需统筹油、气、氢、电多元能源设施布局。预计到2030年地区生产总值年均增速保持在5.5%左右，人均地区生产总值将达到80000元以上，工业增加值占地区生产总值比重达到40%左右；常住人口城镇化率将提升5个百分点、达到58%左右。</w:t>
      </w:r>
    </w:p>
    <w:p>
      <w:pPr>
        <w:ind w:firstLine="643"/>
      </w:pPr>
      <w:r>
        <w:rPr>
          <w:rFonts w:hint="eastAsia"/>
          <w:b/>
          <w:bCs/>
        </w:rPr>
        <w:t>现实条件：</w:t>
      </w:r>
      <w:r>
        <w:rPr>
          <w:rFonts w:hint="eastAsia"/>
        </w:rPr>
        <w:t>全市已实现加油站县域全覆盖，具备稳定的成品油供应保障能力。中心城区加油站服务半径已基本覆盖，现有网点基本满足需求。此外，全市</w:t>
      </w:r>
      <w:r>
        <w:rPr>
          <w:rFonts w:hint="eastAsia"/>
          <w:lang w:eastAsia="zh-CN"/>
        </w:rPr>
        <w:t>“</w:t>
      </w:r>
      <w:r>
        <w:rPr>
          <w:rFonts w:hint="eastAsia"/>
        </w:rPr>
        <w:t>十四五</w:t>
      </w:r>
      <w:r>
        <w:rPr>
          <w:rFonts w:hint="eastAsia"/>
          <w:lang w:eastAsia="zh-CN"/>
        </w:rPr>
        <w:t>”</w:t>
      </w:r>
      <w:r>
        <w:rPr>
          <w:rFonts w:hint="eastAsia"/>
        </w:rPr>
        <w:t>期间拟建加油站多达</w:t>
      </w:r>
      <w:r>
        <w:t>174</w:t>
      </w:r>
      <w:r>
        <w:rPr>
          <w:rFonts w:hint="eastAsia"/>
        </w:rPr>
        <w:t>座，但实际建成并投运</w:t>
      </w:r>
      <w:r>
        <w:t>63</w:t>
      </w:r>
      <w:r>
        <w:rPr>
          <w:rFonts w:hint="eastAsia"/>
        </w:rPr>
        <w:t>座，落地建成率仅约</w:t>
      </w:r>
      <w:r>
        <w:t>36.2%</w:t>
      </w:r>
      <w:r>
        <w:rPr>
          <w:rFonts w:hint="eastAsia"/>
        </w:rPr>
        <w:t>。受山地地形等刚性约束，符合安全防护距离和建设规范的加油站用地供给紧张，规划选址落实难度较大。</w:t>
      </w:r>
    </w:p>
    <w:p>
      <w:pPr>
        <w:pStyle w:val="3"/>
      </w:pPr>
      <w:bookmarkStart w:id="75" w:name="_Toc8823"/>
      <w:bookmarkStart w:id="76" w:name="_Toc237424180"/>
      <w:bookmarkStart w:id="77" w:name="_Toc228174645"/>
      <w:bookmarkStart w:id="78" w:name="_Toc31735"/>
      <w:bookmarkStart w:id="79" w:name="_Toc23925"/>
      <w:r>
        <w:rPr>
          <w:rFonts w:hint="eastAsia"/>
        </w:rPr>
        <w:t>（五）车用天然气及站点需求预测</w:t>
      </w:r>
      <w:bookmarkEnd w:id="75"/>
      <w:bookmarkEnd w:id="76"/>
      <w:bookmarkEnd w:id="77"/>
      <w:bookmarkEnd w:id="78"/>
      <w:bookmarkEnd w:id="79"/>
    </w:p>
    <w:p>
      <w:pPr>
        <w:pStyle w:val="4"/>
        <w:ind w:firstLine="643"/>
      </w:pPr>
      <w:r>
        <w:rPr>
          <w:rFonts w:hint="eastAsia"/>
        </w:rPr>
        <w:t>1.</w:t>
      </w:r>
      <w:r>
        <w:t>车用天然气预测</w:t>
      </w:r>
    </w:p>
    <w:p>
      <w:pPr>
        <w:ind w:firstLine="640"/>
      </w:pPr>
      <w:r>
        <w:rPr>
          <w:rFonts w:hint="eastAsia"/>
        </w:rPr>
        <w:t>根据全市2021—2025年车用天然气销售数据，LNG、CNG销量呈持续大幅下滑态势，年均衰减率约30%，天然气机动车保有量极低且持续退出市场。根据未来发展趋势，近期采用年衰减率25%、远期采用衰减率15%，根据趋势外推法计算得到近远期预测值。</w:t>
      </w:r>
    </w:p>
    <w:p>
      <w:pPr>
        <w:widowControl/>
        <w:spacing w:line="240" w:lineRule="auto"/>
        <w:ind w:firstLine="0" w:firstLineChars="0"/>
        <w:jc w:val="left"/>
      </w:pPr>
      <w:r>
        <w:br w:type="page"/>
      </w:r>
    </w:p>
    <w:p>
      <w:pPr>
        <w:pStyle w:val="28"/>
      </w:pPr>
      <w:r>
        <w:rPr>
          <w:rFonts w:hint="eastAsia"/>
        </w:rPr>
        <w:t>六盘水市天然气需求量预测</w:t>
      </w:r>
    </w:p>
    <w:tbl>
      <w:tblPr>
        <w:tblStyle w:val="21"/>
        <w:tblW w:w="499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699"/>
        <w:gridCol w:w="439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82" w:type="pct"/>
            <w:vAlign w:val="center"/>
          </w:tcPr>
          <w:p>
            <w:pPr>
              <w:spacing w:line="480" w:lineRule="exact"/>
              <w:ind w:firstLine="0" w:firstLineChars="0"/>
              <w:jc w:val="center"/>
              <w:rPr>
                <w:b/>
                <w:bCs/>
                <w:sz w:val="24"/>
                <w:szCs w:val="20"/>
              </w:rPr>
            </w:pPr>
            <w:r>
              <w:rPr>
                <w:rFonts w:hint="eastAsia"/>
                <w:b/>
                <w:bCs/>
                <w:sz w:val="24"/>
                <w:szCs w:val="20"/>
              </w:rPr>
              <w:t>时间</w:t>
            </w:r>
          </w:p>
        </w:tc>
        <w:tc>
          <w:tcPr>
            <w:tcW w:w="2417" w:type="pct"/>
            <w:vAlign w:val="center"/>
          </w:tcPr>
          <w:p>
            <w:pPr>
              <w:spacing w:line="480" w:lineRule="exact"/>
              <w:ind w:firstLine="0" w:firstLineChars="0"/>
              <w:jc w:val="center"/>
              <w:rPr>
                <w:b/>
                <w:bCs/>
                <w:sz w:val="24"/>
                <w:szCs w:val="20"/>
              </w:rPr>
            </w:pPr>
            <w:r>
              <w:rPr>
                <w:rFonts w:hint="eastAsia"/>
                <w:b/>
                <w:bCs/>
                <w:sz w:val="24"/>
                <w:szCs w:val="20"/>
              </w:rPr>
              <w:t>预测值（吨）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82" w:type="pct"/>
            <w:vAlign w:val="center"/>
          </w:tcPr>
          <w:p>
            <w:pPr>
              <w:spacing w:line="480" w:lineRule="exact"/>
              <w:ind w:firstLine="0" w:firstLineChars="0"/>
              <w:jc w:val="center"/>
              <w:rPr>
                <w:sz w:val="24"/>
                <w:szCs w:val="20"/>
              </w:rPr>
            </w:pPr>
            <w:r>
              <w:rPr>
                <w:rFonts w:hint="eastAsia"/>
                <w:sz w:val="24"/>
                <w:szCs w:val="20"/>
              </w:rPr>
              <w:t>近期（到2030年）</w:t>
            </w:r>
          </w:p>
        </w:tc>
        <w:tc>
          <w:tcPr>
            <w:tcW w:w="2417" w:type="pct"/>
            <w:vAlign w:val="center"/>
          </w:tcPr>
          <w:p>
            <w:pPr>
              <w:spacing w:line="480" w:lineRule="exact"/>
              <w:ind w:firstLine="0" w:firstLineChars="0"/>
              <w:jc w:val="center"/>
              <w:rPr>
                <w:sz w:val="24"/>
                <w:szCs w:val="20"/>
              </w:rPr>
            </w:pPr>
            <w:r>
              <w:rPr>
                <w:rFonts w:hint="eastAsia"/>
                <w:sz w:val="24"/>
                <w:szCs w:val="20"/>
              </w:rPr>
              <w:t>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82" w:type="pct"/>
            <w:vAlign w:val="center"/>
          </w:tcPr>
          <w:p>
            <w:pPr>
              <w:spacing w:line="480" w:lineRule="exact"/>
              <w:ind w:firstLine="0" w:firstLineChars="0"/>
              <w:jc w:val="center"/>
              <w:rPr>
                <w:sz w:val="24"/>
                <w:szCs w:val="20"/>
              </w:rPr>
            </w:pPr>
            <w:r>
              <w:rPr>
                <w:rFonts w:hint="eastAsia"/>
                <w:sz w:val="24"/>
                <w:szCs w:val="20"/>
              </w:rPr>
              <w:t>远期（到2035年）</w:t>
            </w:r>
          </w:p>
        </w:tc>
        <w:tc>
          <w:tcPr>
            <w:tcW w:w="2417" w:type="pct"/>
            <w:vAlign w:val="center"/>
          </w:tcPr>
          <w:p>
            <w:pPr>
              <w:spacing w:line="480" w:lineRule="exact"/>
              <w:ind w:firstLine="0" w:firstLineChars="0"/>
              <w:jc w:val="center"/>
              <w:rPr>
                <w:sz w:val="24"/>
                <w:szCs w:val="20"/>
              </w:rPr>
            </w:pPr>
            <w:r>
              <w:rPr>
                <w:rFonts w:hint="eastAsia"/>
                <w:sz w:val="24"/>
                <w:szCs w:val="20"/>
              </w:rPr>
              <w:t>250</w:t>
            </w:r>
          </w:p>
        </w:tc>
      </w:tr>
    </w:tbl>
    <w:p>
      <w:pPr>
        <w:pStyle w:val="4"/>
        <w:ind w:firstLine="643"/>
      </w:pPr>
      <w:r>
        <w:rPr>
          <w:rFonts w:hint="eastAsia"/>
        </w:rPr>
        <w:t>2.</w:t>
      </w:r>
      <w:r>
        <w:t>加气站需求预测</w:t>
      </w:r>
    </w:p>
    <w:p>
      <w:pPr>
        <w:ind w:firstLine="640"/>
      </w:pPr>
      <w:r>
        <w:rPr>
          <w:rFonts w:hint="eastAsia"/>
          <w:lang w:eastAsia="zh-CN"/>
        </w:rPr>
        <w:t>“</w:t>
      </w:r>
      <w:r>
        <w:rPr>
          <w:rFonts w:hint="eastAsia"/>
        </w:rPr>
        <w:t>十五五</w:t>
      </w:r>
      <w:r>
        <w:rPr>
          <w:rFonts w:hint="eastAsia"/>
          <w:lang w:eastAsia="zh-CN"/>
        </w:rPr>
        <w:t>”</w:t>
      </w:r>
      <w:r>
        <w:rPr>
          <w:rFonts w:hint="eastAsia"/>
        </w:rPr>
        <w:t>时期，受新能源车辆规模化替代、运力结构低碳升级双重影响，区域车用天然气消费需求持续走弱，车用天然气销售量逐年衰减、用气体量稳步收缩。根据</w:t>
      </w:r>
      <w:r>
        <w:t>依据《汽车加油加气加氢站技术标准》GB50156-2021</w:t>
      </w:r>
      <w:r>
        <w:rPr>
          <w:rFonts w:hint="eastAsia"/>
        </w:rPr>
        <w:t>要求，立足工矿园区物流配套、片区民生应急保供等实际刚性刚需场景，结合路网枢纽、产业货运通道实际工况，充分利用现有加油站点网络成熟、区位合理、用地合规等既有条件，依托已取得或正在办理加气批复的存量加油站，有序增设LNG/CNG加注功能，明确以现有加油站原址增设扩容为主要路径，从严管控增量，不得布局独立占地加气站，统筹推进加气设施优化布局。</w:t>
      </w:r>
    </w:p>
    <w:p>
      <w:pPr>
        <w:pStyle w:val="3"/>
      </w:pPr>
      <w:bookmarkStart w:id="80" w:name="_Toc228174646"/>
      <w:bookmarkStart w:id="81" w:name="_Toc6508"/>
      <w:bookmarkStart w:id="82" w:name="_Toc16773"/>
      <w:bookmarkStart w:id="83" w:name="_Toc21143"/>
      <w:bookmarkStart w:id="84" w:name="_Toc237424181"/>
      <w:r>
        <w:rPr>
          <w:rFonts w:hint="eastAsia"/>
        </w:rPr>
        <w:t>（六）甲醇及站点需求预测</w:t>
      </w:r>
      <w:bookmarkEnd w:id="80"/>
      <w:bookmarkEnd w:id="81"/>
      <w:bookmarkEnd w:id="82"/>
      <w:bookmarkEnd w:id="83"/>
      <w:bookmarkEnd w:id="84"/>
    </w:p>
    <w:p>
      <w:pPr>
        <w:ind w:firstLine="640"/>
      </w:pPr>
      <w:r>
        <w:rPr>
          <w:rFonts w:hint="eastAsia"/>
        </w:rPr>
        <w:t>目前</w:t>
      </w:r>
      <w:r>
        <w:t>，全市暂无规模化甲醇机动车保有量，未建成车用甲醇燃料供给体系与常态化加注网络，区域车用甲醇实际需求</w:t>
      </w:r>
      <w:r>
        <w:rPr>
          <w:rFonts w:hint="eastAsia"/>
        </w:rPr>
        <w:t>极少，无规模化客运、货运应用场景。</w:t>
      </w:r>
      <w:r>
        <w:t>尽管国家、</w:t>
      </w:r>
      <w:r>
        <w:rPr>
          <w:rFonts w:hint="eastAsia"/>
        </w:rPr>
        <w:t>省</w:t>
      </w:r>
      <w:r>
        <w:t>持续推进甲醇汽车试点应用，但</w:t>
      </w:r>
      <w:r>
        <w:rPr>
          <w:rFonts w:hint="eastAsia"/>
        </w:rPr>
        <w:t>本市产业、交通政策重点布局电动、氢能替代路线，无甲醇汽车省级试点落地任务</w:t>
      </w:r>
      <w:r>
        <w:t>。</w:t>
      </w:r>
      <w:r>
        <w:rPr>
          <w:rFonts w:hint="eastAsia"/>
        </w:rPr>
        <w:t>故规划期内不开展甲醇加注站数量预测、不单独布局甲醇加注网点；若后续省级新增甲醇汽车试点任务，可同步补充需求测算与点位布局。</w:t>
      </w:r>
    </w:p>
    <w:p>
      <w:pPr>
        <w:pStyle w:val="3"/>
      </w:pPr>
      <w:bookmarkStart w:id="85" w:name="_Toc19488"/>
      <w:bookmarkStart w:id="86" w:name="_Toc2254"/>
      <w:bookmarkStart w:id="87" w:name="_Toc18604"/>
      <w:bookmarkStart w:id="88" w:name="_Toc237424182"/>
      <w:bookmarkStart w:id="89" w:name="_Toc228174647"/>
      <w:r>
        <w:rPr>
          <w:rFonts w:hint="eastAsia"/>
        </w:rPr>
        <w:t>（七）车用氢能及站点需求预测</w:t>
      </w:r>
      <w:bookmarkEnd w:id="85"/>
      <w:bookmarkEnd w:id="86"/>
      <w:bookmarkEnd w:id="87"/>
      <w:bookmarkEnd w:id="88"/>
      <w:bookmarkEnd w:id="89"/>
    </w:p>
    <w:p>
      <w:pPr>
        <w:pStyle w:val="4"/>
        <w:ind w:firstLine="643"/>
      </w:pPr>
      <w:r>
        <w:rPr>
          <w:rFonts w:hint="eastAsia"/>
        </w:rPr>
        <w:t>1.</w:t>
      </w:r>
      <w:r>
        <w:t>车用氢能需求预测</w:t>
      </w:r>
    </w:p>
    <w:p>
      <w:pPr>
        <w:ind w:firstLine="640"/>
        <w:rPr>
          <w:b/>
          <w:bCs/>
        </w:rPr>
      </w:pPr>
      <w:r>
        <w:rPr>
          <w:rFonts w:hint="eastAsia"/>
        </w:rPr>
        <w:t>市级出台氢能全产业链专项扶持政策，聚焦氢能重卡推广，重点服务美锦、水钢、煤矿及跨区域物流场景，车用氢能需求持续快速提升。</w:t>
      </w:r>
    </w:p>
    <w:p>
      <w:pPr>
        <w:ind w:firstLine="640"/>
      </w:pPr>
      <w:r>
        <w:rPr>
          <w:rFonts w:hint="eastAsia"/>
        </w:rPr>
        <w:t>预测公式：</w:t>
      </w:r>
      <m:oMath>
        <m:r>
          <m:rPr/>
          <w:rPr>
            <w:rFonts w:hint="eastAsia" w:ascii="Cambria Math" w:hAnsi="Cambria Math"/>
          </w:rPr>
          <m:t>H=</m:t>
        </m:r>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c</m:t>
            </m:r>
            <m:ctrlPr>
              <w:rPr>
                <w:rFonts w:ascii="Cambria Math" w:hAnsi="Cambria Math"/>
                <w:i/>
              </w:rPr>
            </m:ctrlPr>
          </m:sub>
        </m:sSub>
        <m:r>
          <m:rPr/>
          <w:rPr>
            <w:rFonts w:ascii="Cambria Math" w:hAnsi="Cambria Math"/>
          </w:rPr>
          <m:t>×ℎ</m:t>
        </m:r>
      </m:oMath>
    </w:p>
    <w:p>
      <w:pPr>
        <w:ind w:firstLine="640"/>
      </w:pPr>
      <w:r>
        <w:rPr>
          <w:rFonts w:hint="eastAsia"/>
        </w:rPr>
        <w:t>其中：</w:t>
      </w:r>
    </w:p>
    <w:p>
      <w:pPr>
        <w:ind w:firstLine="640"/>
      </w:pPr>
      <m:oMath>
        <m:r>
          <m:rPr/>
          <w:rPr>
            <w:rFonts w:hint="eastAsia" w:ascii="Cambria Math" w:hAnsi="Cambria Math"/>
          </w:rPr>
          <m:t>H</m:t>
        </m:r>
      </m:oMath>
      <w:r>
        <w:rPr>
          <w:rFonts w:hint="eastAsia"/>
        </w:rPr>
        <w:t>：报告期全域车用氢能日需求量（千克）；</w:t>
      </w:r>
    </w:p>
    <w:p>
      <w:pPr>
        <w:ind w:firstLine="640"/>
      </w:pPr>
      <m:oMath>
        <m:sSub>
          <m:sSubPr>
            <m:ctrlPr>
              <w:rPr>
                <w:rFonts w:ascii="Cambria Math" w:hAnsi="Cambria Math"/>
                <w:i/>
              </w:rPr>
            </m:ctrlPr>
          </m:sSubPr>
          <m:e>
            <m:r>
              <m:rPr/>
              <w:rPr>
                <w:rFonts w:hint="eastAsia" w:ascii="Cambria Math" w:hAnsi="Cambria Math"/>
              </w:rPr>
              <m:t>H</m:t>
            </m:r>
            <m:ctrlPr>
              <w:rPr>
                <w:rFonts w:ascii="Cambria Math" w:hAnsi="Cambria Math"/>
                <w:i/>
              </w:rPr>
            </m:ctrlPr>
          </m:e>
          <m:sub>
            <m:r>
              <m:rPr/>
              <w:rPr>
                <w:rFonts w:ascii="Cambria Math" w:hAnsi="Cambria Math"/>
              </w:rPr>
              <m:t>c</m:t>
            </m:r>
            <m:ctrlPr>
              <w:rPr>
                <w:rFonts w:ascii="Cambria Math" w:hAnsi="Cambria Math"/>
                <w:i/>
              </w:rPr>
            </m:ctrlPr>
          </m:sub>
        </m:sSub>
      </m:oMath>
      <w:r>
        <w:rPr>
          <w:rFonts w:hint="eastAsia"/>
        </w:rPr>
        <w:t>：报告期氢能汽车保有量（（2030年500辆、2035年3000辆）；</w:t>
      </w:r>
    </w:p>
    <w:p>
      <w:pPr>
        <w:ind w:firstLine="640"/>
      </w:pPr>
      <m:oMath>
        <m:r>
          <m:rPr/>
          <w:rPr>
            <w:rFonts w:hint="eastAsia" w:ascii="MS Gothic" w:hAnsi="MS Gothic" w:eastAsia="MS Gothic" w:cs="MS Gothic"/>
          </w:rPr>
          <m:t>ℎ</m:t>
        </m:r>
      </m:oMath>
      <w:r>
        <w:rPr>
          <w:rFonts w:hint="eastAsia"/>
        </w:rPr>
        <w:t>：氢能汽车单车日均耗氢量（</w:t>
      </w:r>
      <w:r>
        <w:t>100</w:t>
      </w:r>
      <w:r>
        <w:rPr>
          <w:rFonts w:hint="eastAsia"/>
        </w:rPr>
        <w:t>千克/辆·天）；</w:t>
      </w:r>
    </w:p>
    <w:p>
      <w:pPr>
        <w:ind w:firstLine="640"/>
      </w:pPr>
      <w:r>
        <w:rPr>
          <w:rFonts w:hint="eastAsia"/>
        </w:rPr>
        <w:t>根据公式计算得到近远期预测值如下。</w:t>
      </w:r>
    </w:p>
    <w:p>
      <w:pPr>
        <w:pStyle w:val="28"/>
      </w:pPr>
      <w:r>
        <w:rPr>
          <w:rFonts w:hint="eastAsia"/>
        </w:rPr>
        <w:t>六盘水市车用氢能日需求量预测值</w:t>
      </w:r>
    </w:p>
    <w:tbl>
      <w:tblPr>
        <w:tblStyle w:val="21"/>
        <w:tblW w:w="499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635"/>
        <w:gridCol w:w="446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47" w:type="pct"/>
            <w:vAlign w:val="center"/>
          </w:tcPr>
          <w:p>
            <w:pPr>
              <w:spacing w:line="480" w:lineRule="exact"/>
              <w:ind w:firstLine="0" w:firstLineChars="0"/>
              <w:jc w:val="center"/>
              <w:rPr>
                <w:b/>
                <w:bCs/>
                <w:sz w:val="24"/>
                <w:szCs w:val="20"/>
              </w:rPr>
            </w:pPr>
            <w:r>
              <w:rPr>
                <w:rFonts w:hint="eastAsia"/>
                <w:b/>
                <w:bCs/>
                <w:sz w:val="24"/>
                <w:szCs w:val="20"/>
              </w:rPr>
              <w:t>时间</w:t>
            </w:r>
          </w:p>
        </w:tc>
        <w:tc>
          <w:tcPr>
            <w:tcW w:w="2453" w:type="pct"/>
            <w:vAlign w:val="center"/>
          </w:tcPr>
          <w:p>
            <w:pPr>
              <w:spacing w:line="480" w:lineRule="exact"/>
              <w:ind w:firstLine="0" w:firstLineChars="0"/>
              <w:jc w:val="center"/>
              <w:rPr>
                <w:b/>
                <w:bCs/>
                <w:sz w:val="24"/>
                <w:szCs w:val="20"/>
              </w:rPr>
            </w:pPr>
            <w:r>
              <w:rPr>
                <w:rFonts w:hint="eastAsia"/>
                <w:b/>
                <w:bCs/>
                <w:sz w:val="24"/>
                <w:szCs w:val="20"/>
              </w:rPr>
              <w:t>预测值（千克）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47" w:type="pct"/>
            <w:vAlign w:val="center"/>
          </w:tcPr>
          <w:p>
            <w:pPr>
              <w:spacing w:line="480" w:lineRule="exact"/>
              <w:ind w:firstLine="0" w:firstLineChars="0"/>
              <w:jc w:val="center"/>
              <w:rPr>
                <w:sz w:val="24"/>
                <w:szCs w:val="20"/>
              </w:rPr>
            </w:pPr>
            <w:r>
              <w:rPr>
                <w:rFonts w:hint="eastAsia"/>
                <w:sz w:val="24"/>
                <w:szCs w:val="20"/>
              </w:rPr>
              <w:t>近期（到2030年）</w:t>
            </w:r>
          </w:p>
        </w:tc>
        <w:tc>
          <w:tcPr>
            <w:tcW w:w="2453" w:type="pct"/>
            <w:vAlign w:val="center"/>
          </w:tcPr>
          <w:p>
            <w:pPr>
              <w:spacing w:line="480" w:lineRule="exact"/>
              <w:ind w:firstLine="0" w:firstLineChars="0"/>
              <w:jc w:val="center"/>
              <w:rPr>
                <w:sz w:val="24"/>
                <w:szCs w:val="20"/>
              </w:rPr>
            </w:pPr>
            <w:r>
              <w:rPr>
                <w:rFonts w:hint="eastAsia"/>
                <w:sz w:val="24"/>
                <w:szCs w:val="20"/>
              </w:rPr>
              <w:t>50400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47" w:type="pct"/>
            <w:vAlign w:val="center"/>
          </w:tcPr>
          <w:p>
            <w:pPr>
              <w:spacing w:line="480" w:lineRule="exact"/>
              <w:ind w:firstLine="0" w:firstLineChars="0"/>
              <w:jc w:val="center"/>
              <w:rPr>
                <w:sz w:val="24"/>
                <w:szCs w:val="20"/>
              </w:rPr>
            </w:pPr>
            <w:r>
              <w:rPr>
                <w:rFonts w:hint="eastAsia"/>
                <w:sz w:val="24"/>
                <w:szCs w:val="20"/>
              </w:rPr>
              <w:t>远期（到2035年）</w:t>
            </w:r>
          </w:p>
        </w:tc>
        <w:tc>
          <w:tcPr>
            <w:tcW w:w="2453" w:type="pct"/>
            <w:vAlign w:val="center"/>
          </w:tcPr>
          <w:p>
            <w:pPr>
              <w:spacing w:line="480" w:lineRule="exact"/>
              <w:ind w:firstLine="0" w:firstLineChars="0"/>
              <w:jc w:val="center"/>
              <w:rPr>
                <w:sz w:val="24"/>
                <w:szCs w:val="20"/>
              </w:rPr>
            </w:pPr>
            <w:r>
              <w:rPr>
                <w:rFonts w:hint="eastAsia"/>
                <w:sz w:val="24"/>
                <w:szCs w:val="20"/>
              </w:rPr>
              <w:t>75600</w:t>
            </w:r>
          </w:p>
        </w:tc>
      </w:tr>
    </w:tbl>
    <w:p>
      <w:pPr>
        <w:ind w:firstLine="560"/>
        <w:rPr>
          <w:sz w:val="28"/>
          <w:szCs w:val="21"/>
        </w:rPr>
      </w:pPr>
      <w:r>
        <w:rPr>
          <w:rFonts w:hint="eastAsia"/>
          <w:sz w:val="28"/>
          <w:szCs w:val="21"/>
        </w:rPr>
        <w:t>注：车用氢能日需求量表格为全市工矿厂区撬装加氢</w:t>
      </w:r>
      <w:r>
        <w:rPr>
          <w:sz w:val="28"/>
          <w:szCs w:val="21"/>
        </w:rPr>
        <w:t>+</w:t>
      </w:r>
      <w:r>
        <w:rPr>
          <w:rFonts w:hint="eastAsia"/>
          <w:sz w:val="28"/>
          <w:szCs w:val="21"/>
        </w:rPr>
        <w:t>公共加氢站加注的全域总消耗量；文中</w:t>
      </w:r>
      <w:r>
        <w:rPr>
          <w:sz w:val="28"/>
          <w:szCs w:val="21"/>
        </w:rPr>
        <w:t>14-20</w:t>
      </w:r>
      <w:r>
        <w:rPr>
          <w:rFonts w:hint="eastAsia"/>
          <w:sz w:val="28"/>
          <w:szCs w:val="21"/>
        </w:rPr>
        <w:t>吨</w:t>
      </w:r>
      <w:r>
        <w:rPr>
          <w:sz w:val="28"/>
          <w:szCs w:val="21"/>
        </w:rPr>
        <w:t>/</w:t>
      </w:r>
      <w:r>
        <w:rPr>
          <w:rFonts w:hint="eastAsia"/>
          <w:sz w:val="28"/>
          <w:szCs w:val="21"/>
        </w:rPr>
        <w:t>日仅为对外开放公共加氢站的加注规模。</w:t>
      </w:r>
    </w:p>
    <w:p>
      <w:pPr>
        <w:pStyle w:val="4"/>
        <w:ind w:firstLine="643"/>
      </w:pPr>
      <w:r>
        <w:rPr>
          <w:rFonts w:hint="eastAsia"/>
        </w:rPr>
        <w:t>2.</w:t>
      </w:r>
      <w:r>
        <w:t>加氢站需求预测</w:t>
      </w:r>
    </w:p>
    <w:p>
      <w:pPr>
        <w:ind w:firstLine="640"/>
      </w:pPr>
      <w:r>
        <w:rPr>
          <w:rFonts w:hint="eastAsia"/>
        </w:rPr>
        <w:t>目前，全市具备氢能加注条件的站点共2座，其中已投运1座，在营站日加注能力为500—800kg。新建及依托现有加油加气站改扩建的对外开放公共加氢站点，单站日加注能力按700kg配置，氢能汽车使用率按15%测算。结合本地氢能重卡昼间进厂运输、夜间集中补氢的运营特点，公共加氢站采取错峰运营模式，夜间全机组并行加注，单站夜间实际加注能力可达日间标准的3倍。布局层面以六枝特区、盘州市、水城区等工矿园区与物流枢纽为</w:t>
      </w:r>
      <w:r>
        <w:rPr>
          <w:rFonts w:hint="eastAsia"/>
          <w:lang w:eastAsia="zh-CN"/>
        </w:rPr>
        <w:t>核心</w:t>
      </w:r>
      <w:r>
        <w:rPr>
          <w:rFonts w:hint="eastAsia"/>
        </w:rPr>
        <w:t>节点布局公共加氢站，同步鼓励煤矿、钢企配套建设厂区撬装加氢设施消化场内重卡用氢需求，统筹覆盖全域氢能加注需求，采用</w:t>
      </w:r>
      <w:r>
        <w:rPr>
          <w:rFonts w:hint="eastAsia"/>
          <w:lang w:eastAsia="zh-CN"/>
        </w:rPr>
        <w:t>“</w:t>
      </w:r>
      <w:r>
        <w:rPr>
          <w:rFonts w:hint="eastAsia"/>
        </w:rPr>
        <w:t>存量改造+按需新建</w:t>
      </w:r>
      <w:r>
        <w:rPr>
          <w:rFonts w:hint="eastAsia"/>
          <w:lang w:eastAsia="zh-CN"/>
        </w:rPr>
        <w:t>”</w:t>
      </w:r>
      <w:r>
        <w:rPr>
          <w:rFonts w:hint="eastAsia"/>
        </w:rPr>
        <w:t>模式分阶段推进设施建设，逐步构建适配工矿重卡、市政车辆使用场景的氢能加注保障网络。</w:t>
      </w:r>
    </w:p>
    <w:p>
      <w:pPr>
        <w:ind w:firstLine="640"/>
      </w:pPr>
      <w:r>
        <w:rPr>
          <w:rFonts w:hint="eastAsia"/>
        </w:rPr>
        <w:t>与此同时，六盘水市</w:t>
      </w:r>
      <w:r>
        <w:rPr>
          <w:rFonts w:hint="eastAsia"/>
          <w:lang w:eastAsia="zh-CN"/>
        </w:rPr>
        <w:t>“</w:t>
      </w:r>
      <w:r>
        <w:rPr>
          <w:rFonts w:hint="eastAsia"/>
        </w:rPr>
        <w:t>十五五</w:t>
      </w:r>
      <w:r>
        <w:rPr>
          <w:rFonts w:hint="eastAsia"/>
          <w:lang w:eastAsia="zh-CN"/>
        </w:rPr>
        <w:t>”</w:t>
      </w:r>
      <w:r>
        <w:rPr>
          <w:rFonts w:hint="eastAsia"/>
        </w:rPr>
        <w:t>期间正全力打造氢能示范城市，为加气站网络的功能拓展与转型升级提供了重要战略契机。作为西部陆海新通道</w:t>
      </w:r>
      <w:r>
        <w:rPr>
          <w:rFonts w:hint="eastAsia"/>
          <w:lang w:eastAsia="zh-CN"/>
        </w:rPr>
        <w:t>“</w:t>
      </w:r>
      <w:r>
        <w:rPr>
          <w:rFonts w:hint="eastAsia"/>
        </w:rPr>
        <w:t>渝黔桂</w:t>
      </w:r>
      <w:r>
        <w:rPr>
          <w:rFonts w:hint="eastAsia"/>
          <w:lang w:eastAsia="zh-CN"/>
        </w:rPr>
        <w:t>”</w:t>
      </w:r>
      <w:r>
        <w:rPr>
          <w:rFonts w:hint="eastAsia"/>
        </w:rPr>
        <w:t>氢走廊核心枢纽城市，规划焦化产能2810万吨，具备充足的焦炉煤气制氢气源保障。焦炉煤气提纯制氢综合成本约为18元/公斤，显著低于化工副产氢和电解水制氢路径，为加氢站网络的经济化运营提供了低成本氢源支撑。依托丰富的焦炉煤气资源，六盘水已建成5000万标方制氢工厂1座，初步形成</w:t>
      </w:r>
      <w:r>
        <w:rPr>
          <w:rFonts w:hint="eastAsia"/>
          <w:lang w:eastAsia="zh-CN"/>
        </w:rPr>
        <w:t>“</w:t>
      </w:r>
      <w:r>
        <w:rPr>
          <w:rFonts w:hint="eastAsia"/>
        </w:rPr>
        <w:t>制—储—运—加</w:t>
      </w:r>
      <w:r>
        <w:rPr>
          <w:rFonts w:hint="eastAsia"/>
          <w:lang w:eastAsia="zh-CN"/>
        </w:rPr>
        <w:t>”</w:t>
      </w:r>
      <w:r>
        <w:rPr>
          <w:rFonts w:hint="eastAsia"/>
        </w:rPr>
        <w:t>全链条供给能力，氢源保障能力可充分满足中远期加氢站网络运行需求。在政策端，市级层面已出台氢能产业专项支持政策，明确支持现有加油加气站依法依规改扩建为油气电氢综合能源站，为加氢站点</w:t>
      </w:r>
      <w:r>
        <w:rPr>
          <w:rFonts w:hint="eastAsia"/>
          <w:lang w:eastAsia="zh-CN"/>
        </w:rPr>
        <w:t>“</w:t>
      </w:r>
      <w:r>
        <w:rPr>
          <w:rFonts w:hint="eastAsia"/>
        </w:rPr>
        <w:t>存量改造</w:t>
      </w:r>
      <w:r>
        <w:rPr>
          <w:rFonts w:hint="eastAsia"/>
          <w:lang w:eastAsia="zh-CN"/>
        </w:rPr>
        <w:t>”</w:t>
      </w:r>
      <w:r>
        <w:rPr>
          <w:rFonts w:hint="eastAsia"/>
        </w:rPr>
        <w:t>模式提供了明确的审批路径和资金保障。</w:t>
      </w:r>
    </w:p>
    <w:p>
      <w:pPr>
        <w:ind w:firstLine="640"/>
      </w:pPr>
      <w:r>
        <w:rPr>
          <w:rFonts w:hint="eastAsia"/>
        </w:rPr>
        <w:t>全市工矿重卡保有量约2.75万辆、市政环卫及公交车辆约1900</w:t>
      </w:r>
      <w:r>
        <w:rPr>
          <w:rFonts w:hint="eastAsia"/>
          <w:lang w:eastAsia="zh-CN"/>
        </w:rPr>
        <w:t>辆</w:t>
      </w:r>
      <w:r>
        <w:rPr>
          <w:rFonts w:hint="eastAsia"/>
        </w:rPr>
        <w:t>，按15%的氢能汽车使用率测算，中远期氢燃料电池汽车保有量有望突破2000辆。全域日均氢能总需求分为厂区自用撬装加氢、对外开放公共加氢站加注两大板块，其中面向社会车辆的公共加氢站日均加注需求量约14—20吨。综合考虑现有1座站点增量扩容潜力、公共加氢站夜间错峰提产能力、厂区撬装设施分流大部分工矿用氢需求以及区域用氢需求分布，全市公共加氢站新增需求预测如下。</w:t>
      </w:r>
    </w:p>
    <w:p>
      <w:pPr>
        <w:pStyle w:val="28"/>
      </w:pPr>
      <w:r>
        <w:rPr>
          <w:rFonts w:hint="eastAsia"/>
        </w:rPr>
        <w:t>六盘水市加氢站新增需求预测</w:t>
      </w:r>
    </w:p>
    <w:tbl>
      <w:tblPr>
        <w:tblStyle w:val="21"/>
        <w:tblW w:w="4972"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687"/>
        <w:gridCol w:w="43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85" w:type="pct"/>
            <w:vAlign w:val="center"/>
          </w:tcPr>
          <w:p>
            <w:pPr>
              <w:spacing w:line="480" w:lineRule="exact"/>
              <w:ind w:firstLine="0" w:firstLineChars="0"/>
              <w:jc w:val="center"/>
              <w:rPr>
                <w:b/>
                <w:bCs/>
                <w:sz w:val="24"/>
                <w:szCs w:val="20"/>
              </w:rPr>
            </w:pPr>
            <w:r>
              <w:rPr>
                <w:rFonts w:hint="eastAsia"/>
                <w:b/>
                <w:bCs/>
                <w:sz w:val="24"/>
                <w:szCs w:val="20"/>
              </w:rPr>
              <w:t>时间</w:t>
            </w:r>
          </w:p>
        </w:tc>
        <w:tc>
          <w:tcPr>
            <w:tcW w:w="2414" w:type="pct"/>
            <w:vAlign w:val="center"/>
          </w:tcPr>
          <w:p>
            <w:pPr>
              <w:spacing w:line="480" w:lineRule="exact"/>
              <w:ind w:firstLine="0" w:firstLineChars="0"/>
              <w:jc w:val="center"/>
              <w:rPr>
                <w:b/>
                <w:bCs/>
                <w:sz w:val="24"/>
                <w:szCs w:val="20"/>
              </w:rPr>
            </w:pPr>
            <w:r>
              <w:rPr>
                <w:rFonts w:hint="eastAsia"/>
                <w:b/>
                <w:bCs/>
                <w:sz w:val="24"/>
                <w:szCs w:val="20"/>
              </w:rPr>
              <w:t>预测值（座）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85" w:type="pct"/>
            <w:vAlign w:val="center"/>
          </w:tcPr>
          <w:p>
            <w:pPr>
              <w:spacing w:line="480" w:lineRule="exact"/>
              <w:ind w:firstLine="0" w:firstLineChars="0"/>
              <w:jc w:val="center"/>
              <w:rPr>
                <w:sz w:val="24"/>
                <w:szCs w:val="20"/>
              </w:rPr>
            </w:pPr>
            <w:r>
              <w:rPr>
                <w:rFonts w:hint="eastAsia"/>
                <w:sz w:val="24"/>
                <w:szCs w:val="20"/>
              </w:rPr>
              <w:t>近期（2026—2030年）</w:t>
            </w:r>
          </w:p>
        </w:tc>
        <w:tc>
          <w:tcPr>
            <w:tcW w:w="2414" w:type="pct"/>
            <w:vAlign w:val="center"/>
          </w:tcPr>
          <w:p>
            <w:pPr>
              <w:spacing w:line="480" w:lineRule="exact"/>
              <w:ind w:firstLine="0" w:firstLineChars="0"/>
              <w:jc w:val="center"/>
              <w:rPr>
                <w:sz w:val="24"/>
                <w:szCs w:val="20"/>
              </w:rPr>
            </w:pPr>
            <w:r>
              <w:rPr>
                <w:rFonts w:hint="eastAsia"/>
                <w:sz w:val="24"/>
                <w:szCs w:val="20"/>
              </w:rPr>
              <w:t>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585" w:type="pct"/>
            <w:vAlign w:val="center"/>
          </w:tcPr>
          <w:p>
            <w:pPr>
              <w:spacing w:line="480" w:lineRule="exact"/>
              <w:ind w:firstLine="0" w:firstLineChars="0"/>
              <w:jc w:val="center"/>
              <w:rPr>
                <w:sz w:val="24"/>
                <w:szCs w:val="20"/>
              </w:rPr>
            </w:pPr>
            <w:r>
              <w:rPr>
                <w:rFonts w:hint="eastAsia"/>
                <w:sz w:val="24"/>
                <w:szCs w:val="20"/>
              </w:rPr>
              <w:t>远期（2031—2035年）</w:t>
            </w:r>
          </w:p>
        </w:tc>
        <w:tc>
          <w:tcPr>
            <w:tcW w:w="2414" w:type="pct"/>
            <w:vAlign w:val="center"/>
          </w:tcPr>
          <w:p>
            <w:pPr>
              <w:spacing w:line="480" w:lineRule="exact"/>
              <w:ind w:firstLine="0" w:firstLineChars="0"/>
              <w:jc w:val="center"/>
              <w:rPr>
                <w:sz w:val="24"/>
                <w:szCs w:val="20"/>
              </w:rPr>
            </w:pPr>
            <w:r>
              <w:rPr>
                <w:rFonts w:hint="eastAsia"/>
                <w:sz w:val="24"/>
                <w:szCs w:val="20"/>
              </w:rPr>
              <w:t>30</w:t>
            </w:r>
          </w:p>
        </w:tc>
      </w:tr>
    </w:tbl>
    <w:p>
      <w:pPr>
        <w:ind w:firstLine="560"/>
        <w:rPr>
          <w:sz w:val="28"/>
          <w:szCs w:val="21"/>
        </w:rPr>
      </w:pPr>
      <w:bookmarkStart w:id="90" w:name="_Toc3899"/>
      <w:bookmarkStart w:id="91" w:name="_Toc228174648"/>
      <w:bookmarkStart w:id="92" w:name="_Toc21177"/>
      <w:bookmarkStart w:id="93" w:name="_Toc10300"/>
      <w:r>
        <w:rPr>
          <w:rFonts w:hint="eastAsia"/>
          <w:sz w:val="28"/>
          <w:szCs w:val="21"/>
        </w:rPr>
        <w:t>注：公共加氢站单站</w:t>
      </w:r>
      <w:r>
        <w:rPr>
          <w:sz w:val="28"/>
          <w:szCs w:val="21"/>
        </w:rPr>
        <w:t>700kg/</w:t>
      </w:r>
      <w:r>
        <w:rPr>
          <w:rFonts w:hint="eastAsia"/>
          <w:sz w:val="28"/>
          <w:szCs w:val="21"/>
        </w:rPr>
        <w:t>日为日间平峰额定加注能力，依托氢能重卡夜间集中加氢场景，场站错峰运营可提升实际加注产能。</w:t>
      </w:r>
    </w:p>
    <w:p>
      <w:pPr>
        <w:pStyle w:val="3"/>
      </w:pPr>
      <w:bookmarkStart w:id="94" w:name="_Toc237424183"/>
      <w:r>
        <w:rPr>
          <w:rFonts w:hint="eastAsia"/>
        </w:rPr>
        <w:t>（八）充电设施需求预测</w:t>
      </w:r>
      <w:bookmarkEnd w:id="90"/>
      <w:bookmarkEnd w:id="91"/>
      <w:bookmarkEnd w:id="92"/>
      <w:bookmarkEnd w:id="93"/>
      <w:bookmarkEnd w:id="94"/>
    </w:p>
    <w:p>
      <w:pPr>
        <w:ind w:firstLine="640"/>
      </w:pPr>
      <w:r>
        <w:rPr>
          <w:rFonts w:hint="eastAsia"/>
        </w:rPr>
        <w:t>根据《国务院办公厅关于进一步构建高质量充电基础设施体系的指导意见》《关于加快新能源汽车产业高质量发展推进</w:t>
      </w:r>
      <w:r>
        <w:rPr>
          <w:rFonts w:hint="eastAsia"/>
          <w:lang w:eastAsia="zh-CN"/>
        </w:rPr>
        <w:t>“</w:t>
      </w:r>
      <w:r>
        <w:rPr>
          <w:rFonts w:hint="eastAsia"/>
        </w:rPr>
        <w:t>电动贵州</w:t>
      </w:r>
      <w:r>
        <w:rPr>
          <w:rFonts w:hint="eastAsia"/>
          <w:lang w:eastAsia="zh-CN"/>
        </w:rPr>
        <w:t>”</w:t>
      </w:r>
      <w:r>
        <w:rPr>
          <w:rFonts w:hint="eastAsia"/>
        </w:rPr>
        <w:t>建设的指导意见》（黔府办发〔2023〕18号），结合国家新能源汽车扶持政策、电动贵州专项行动及市级配套政策叠加驱动，区域新能源汽车保有量持续增长，车用清洁能源替代步伐加快，刚性充电配套需求持续释放。当前，充电基础设施正向网络化布局、标准化建设、智能化升级、一体化融合方向高质量发展，服务能力稳步提升，充电网络不断向城乡全域、交通干线延伸，大功率快充、便民化配套成为行业主流，设施体系加速向均衡化、高效化、多元化转型。依托现有成品油站点布局优势，推进加油/气/氢/充电一体化综合能源站建设，已是补能场景落地重要趋势。通过新建站点同步配建、既有油站改造增容充电设施，有效补齐公共充电短板、优化空间布局。结合区域新能源发展规划、城乡交通路网及成品油站点实际，紧扣适度超前、因地制宜、供需匹配原则，精准开展充电需求预测，科学确定建设规模与布局方案，全面适配绿色交通转型发展需要。</w:t>
      </w:r>
    </w:p>
    <w:p>
      <w:pPr>
        <w:pStyle w:val="4"/>
        <w:ind w:firstLine="643"/>
      </w:pPr>
      <w:r>
        <w:rPr>
          <w:rFonts w:hint="eastAsia"/>
        </w:rPr>
        <w:t>1.</w:t>
      </w:r>
      <w:r>
        <w:t>电动汽车用电需求预测</w:t>
      </w:r>
    </w:p>
    <w:p>
      <w:pPr>
        <w:ind w:firstLine="640"/>
      </w:pPr>
      <w:r>
        <w:rPr>
          <w:rFonts w:hint="eastAsia"/>
        </w:rPr>
        <w:t>预测公式：</w:t>
      </w:r>
      <m:oMath>
        <m:r>
          <m:rPr/>
          <w:rPr>
            <w:rFonts w:ascii="Cambria Math" w:hAnsi="Cambria Math"/>
          </w:rPr>
          <m:t>W=N×w×k</m:t>
        </m:r>
      </m:oMath>
    </w:p>
    <w:p>
      <w:pPr>
        <w:ind w:firstLine="640"/>
      </w:pPr>
      <w:r>
        <w:rPr>
          <w:rFonts w:hint="eastAsia"/>
        </w:rPr>
        <w:t>其中：</w:t>
      </w:r>
    </w:p>
    <w:p>
      <w:pPr>
        <w:ind w:firstLine="640"/>
      </w:pPr>
      <m:oMath>
        <m:r>
          <m:rPr/>
          <w:rPr>
            <w:rFonts w:hint="eastAsia" w:ascii="Cambria Math" w:hAnsi="Cambria Math"/>
          </w:rPr>
          <m:t>W</m:t>
        </m:r>
      </m:oMath>
      <w:r>
        <w:rPr>
          <w:rFonts w:hint="eastAsia" w:hAnsi="Cambria Math"/>
        </w:rPr>
        <w:t>：</w:t>
      </w:r>
      <w:r>
        <w:rPr>
          <w:rFonts w:hint="eastAsia"/>
        </w:rPr>
        <w:t>报告期车用电力年需求量（万千瓦时）；</w:t>
      </w:r>
    </w:p>
    <w:p>
      <w:pPr>
        <w:ind w:firstLine="640"/>
      </w:pPr>
      <m:oMath>
        <m:r>
          <m:rPr/>
          <w:rPr>
            <w:rFonts w:hint="eastAsia" w:ascii="Cambria Math" w:hAnsi="Cambria Math"/>
          </w:rPr>
          <m:t>N</m:t>
        </m:r>
      </m:oMath>
      <w:r>
        <w:rPr>
          <w:rFonts w:hint="eastAsia"/>
        </w:rPr>
        <w:t>：基期新能源汽车保有量（2030年31.8万辆、2035年55.3万辆）；</w:t>
      </w:r>
    </w:p>
    <w:p>
      <w:pPr>
        <w:ind w:firstLine="640"/>
        <w:rPr>
          <w:rFonts w:ascii="Cambria Math" w:hAnsi="Cambria Math"/>
          <w:oMath/>
        </w:rPr>
      </w:pPr>
      <m:oMath>
        <m:r>
          <m:rPr/>
          <w:rPr>
            <w:rFonts w:ascii="Cambria Math" w:hAnsi="Cambria Math"/>
          </w:rPr>
          <m:t>w</m:t>
        </m:r>
      </m:oMath>
      <w:r>
        <w:rPr>
          <w:rFonts w:hint="eastAsia"/>
        </w:rPr>
        <w:t>：</w:t>
      </w:r>
      <w:r>
        <w:t>新能源汽车单车年均耗电量（</w:t>
      </w:r>
      <w:r>
        <w:rPr>
          <w:rFonts w:hint="eastAsia"/>
        </w:rPr>
        <w:t>根据省内</w:t>
      </w:r>
      <w:r>
        <w:t>新能源车辆运营统计均值</w:t>
      </w:r>
      <w:r>
        <w:rPr>
          <w:rFonts w:hint="eastAsia"/>
        </w:rPr>
        <w:t>1.2万</w:t>
      </w:r>
      <w:r>
        <w:t>千瓦时）</w:t>
      </w:r>
      <w:r>
        <w:rPr>
          <w:rFonts w:hint="eastAsia"/>
        </w:rPr>
        <w:t>；</w:t>
      </w:r>
    </w:p>
    <w:p>
      <w:pPr>
        <w:ind w:firstLine="640"/>
      </w:pPr>
      <m:oMath>
        <m:r>
          <m:rPr/>
          <w:rPr>
            <w:rFonts w:hint="eastAsia" w:ascii="Cambria Math" w:hAnsi="Cambria Math"/>
          </w:rPr>
          <m:t>k</m:t>
        </m:r>
      </m:oMath>
      <w:r>
        <w:rPr>
          <w:rFonts w:hint="eastAsia"/>
        </w:rPr>
        <w:t>：</w:t>
      </w:r>
      <w:r>
        <w:t>充电损耗系数</w:t>
      </w:r>
      <w:r>
        <w:rPr>
          <w:rFonts w:hint="eastAsia"/>
        </w:rPr>
        <w:t>（根据线路、变压损耗行业通用取值1.15）。</w:t>
      </w:r>
    </w:p>
    <w:p>
      <w:pPr>
        <w:ind w:firstLine="640"/>
      </w:pPr>
      <w:r>
        <w:rPr>
          <w:rFonts w:hint="eastAsia"/>
        </w:rPr>
        <w:t>根据公式计算得到近远期预测值如下。</w:t>
      </w:r>
    </w:p>
    <w:p>
      <w:pPr>
        <w:pStyle w:val="28"/>
      </w:pPr>
      <w:r>
        <w:rPr>
          <w:rFonts w:hint="eastAsia"/>
        </w:rPr>
        <w:t>六盘水市车用电能需求量预测值</w:t>
      </w:r>
    </w:p>
    <w:tbl>
      <w:tblPr>
        <w:tblStyle w:val="21"/>
        <w:tblW w:w="4981"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436"/>
        <w:gridCol w:w="464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442" w:type="pct"/>
            <w:vAlign w:val="center"/>
          </w:tcPr>
          <w:p>
            <w:pPr>
              <w:spacing w:line="480" w:lineRule="exact"/>
              <w:ind w:firstLine="0" w:firstLineChars="0"/>
              <w:jc w:val="center"/>
              <w:rPr>
                <w:b/>
                <w:bCs/>
                <w:sz w:val="24"/>
                <w:szCs w:val="20"/>
              </w:rPr>
            </w:pPr>
            <w:r>
              <w:rPr>
                <w:rFonts w:hint="eastAsia"/>
                <w:b/>
                <w:bCs/>
                <w:sz w:val="24"/>
                <w:szCs w:val="20"/>
              </w:rPr>
              <w:t>时间</w:t>
            </w:r>
          </w:p>
        </w:tc>
        <w:tc>
          <w:tcPr>
            <w:tcW w:w="2557" w:type="pct"/>
            <w:vAlign w:val="center"/>
          </w:tcPr>
          <w:p>
            <w:pPr>
              <w:spacing w:line="480" w:lineRule="exact"/>
              <w:ind w:firstLine="0" w:firstLineChars="0"/>
              <w:jc w:val="center"/>
              <w:rPr>
                <w:b/>
                <w:bCs/>
                <w:sz w:val="24"/>
                <w:szCs w:val="20"/>
              </w:rPr>
            </w:pPr>
            <w:r>
              <w:rPr>
                <w:rFonts w:hint="eastAsia"/>
                <w:b/>
                <w:bCs/>
                <w:sz w:val="24"/>
                <w:szCs w:val="20"/>
              </w:rPr>
              <w:t>预测值（万千瓦时）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442" w:type="pct"/>
            <w:vAlign w:val="center"/>
          </w:tcPr>
          <w:p>
            <w:pPr>
              <w:spacing w:line="480" w:lineRule="exact"/>
              <w:ind w:firstLine="0" w:firstLineChars="0"/>
              <w:jc w:val="center"/>
              <w:rPr>
                <w:sz w:val="24"/>
                <w:szCs w:val="20"/>
              </w:rPr>
            </w:pPr>
            <w:r>
              <w:rPr>
                <w:rFonts w:hint="eastAsia"/>
                <w:sz w:val="24"/>
                <w:szCs w:val="20"/>
              </w:rPr>
              <w:t>近期（到2030年）</w:t>
            </w:r>
          </w:p>
        </w:tc>
        <w:tc>
          <w:tcPr>
            <w:tcW w:w="2557" w:type="pct"/>
            <w:vAlign w:val="center"/>
          </w:tcPr>
          <w:p>
            <w:pPr>
              <w:spacing w:line="480" w:lineRule="exact"/>
              <w:ind w:firstLine="0" w:firstLineChars="0"/>
              <w:jc w:val="center"/>
              <w:rPr>
                <w:sz w:val="24"/>
                <w:szCs w:val="20"/>
              </w:rPr>
            </w:pPr>
            <w:r>
              <w:rPr>
                <w:rFonts w:hint="eastAsia"/>
                <w:sz w:val="24"/>
                <w:szCs w:val="20"/>
              </w:rPr>
              <w:t>36632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442" w:type="pct"/>
            <w:vAlign w:val="center"/>
          </w:tcPr>
          <w:p>
            <w:pPr>
              <w:spacing w:line="480" w:lineRule="exact"/>
              <w:ind w:firstLine="0" w:firstLineChars="0"/>
              <w:jc w:val="center"/>
              <w:rPr>
                <w:sz w:val="24"/>
                <w:szCs w:val="20"/>
              </w:rPr>
            </w:pPr>
            <w:r>
              <w:rPr>
                <w:rFonts w:hint="eastAsia"/>
                <w:sz w:val="24"/>
                <w:szCs w:val="20"/>
              </w:rPr>
              <w:t>远期（到2035年）</w:t>
            </w:r>
          </w:p>
        </w:tc>
        <w:tc>
          <w:tcPr>
            <w:tcW w:w="2557" w:type="pct"/>
            <w:vAlign w:val="center"/>
          </w:tcPr>
          <w:p>
            <w:pPr>
              <w:spacing w:line="480" w:lineRule="exact"/>
              <w:ind w:firstLine="0" w:firstLineChars="0"/>
              <w:jc w:val="center"/>
              <w:rPr>
                <w:sz w:val="24"/>
                <w:szCs w:val="20"/>
              </w:rPr>
            </w:pPr>
            <w:r>
              <w:rPr>
                <w:rFonts w:hint="eastAsia"/>
                <w:sz w:val="24"/>
                <w:szCs w:val="20"/>
              </w:rPr>
              <w:t>58996</w:t>
            </w:r>
          </w:p>
        </w:tc>
      </w:tr>
    </w:tbl>
    <w:p>
      <w:pPr>
        <w:pStyle w:val="4"/>
        <w:ind w:firstLine="643"/>
      </w:pPr>
      <w:r>
        <w:rPr>
          <w:rFonts w:hint="eastAsia"/>
        </w:rPr>
        <w:t>2.</w:t>
      </w:r>
      <w:r>
        <w:t>充电设施需求预测</w:t>
      </w:r>
    </w:p>
    <w:p>
      <w:pPr>
        <w:ind w:firstLine="640"/>
      </w:pPr>
      <w:r>
        <w:rPr>
          <w:rFonts w:hint="eastAsia"/>
        </w:rPr>
        <w:t>（1）全市公共充电设施需求预测</w:t>
      </w:r>
    </w:p>
    <w:p>
      <w:pPr>
        <w:ind w:firstLine="640"/>
      </w:pPr>
      <w:r>
        <w:rPr>
          <w:rFonts w:hint="eastAsia"/>
        </w:rPr>
        <w:t>结合电动汽车保有量预测结果，采用车桩比进行测算，近期车桩比采用5:1，远期车桩比采用3:1。</w:t>
      </w:r>
    </w:p>
    <w:p>
      <w:pPr>
        <w:pStyle w:val="28"/>
      </w:pPr>
      <w:r>
        <w:rPr>
          <w:rFonts w:hint="eastAsia"/>
        </w:rPr>
        <w:t>六盘水市充电桩需求预测值</w:t>
      </w:r>
    </w:p>
    <w:tbl>
      <w:tblPr>
        <w:tblStyle w:val="21"/>
        <w:tblW w:w="4981"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743"/>
        <w:gridCol w:w="433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611" w:type="pct"/>
            <w:vAlign w:val="center"/>
          </w:tcPr>
          <w:p>
            <w:pPr>
              <w:spacing w:line="480" w:lineRule="exact"/>
              <w:ind w:firstLine="0" w:firstLineChars="0"/>
              <w:jc w:val="center"/>
              <w:rPr>
                <w:b/>
                <w:bCs/>
                <w:sz w:val="24"/>
                <w:szCs w:val="20"/>
              </w:rPr>
            </w:pPr>
            <w:r>
              <w:rPr>
                <w:rFonts w:hint="eastAsia"/>
                <w:b/>
                <w:bCs/>
                <w:sz w:val="24"/>
                <w:szCs w:val="20"/>
              </w:rPr>
              <w:t>时间</w:t>
            </w:r>
          </w:p>
        </w:tc>
        <w:tc>
          <w:tcPr>
            <w:tcW w:w="2388" w:type="pct"/>
            <w:vAlign w:val="center"/>
          </w:tcPr>
          <w:p>
            <w:pPr>
              <w:spacing w:line="480" w:lineRule="exact"/>
              <w:ind w:firstLine="0" w:firstLineChars="0"/>
              <w:jc w:val="center"/>
              <w:rPr>
                <w:b/>
                <w:bCs/>
                <w:sz w:val="24"/>
                <w:szCs w:val="20"/>
              </w:rPr>
            </w:pPr>
            <w:r>
              <w:rPr>
                <w:rFonts w:hint="eastAsia"/>
                <w:b/>
                <w:bCs/>
                <w:sz w:val="24"/>
                <w:szCs w:val="20"/>
              </w:rPr>
              <w:t>预测值（个）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611" w:type="pct"/>
            <w:vAlign w:val="center"/>
          </w:tcPr>
          <w:p>
            <w:pPr>
              <w:spacing w:line="480" w:lineRule="exact"/>
              <w:ind w:firstLine="0" w:firstLineChars="0"/>
              <w:jc w:val="center"/>
              <w:rPr>
                <w:sz w:val="24"/>
                <w:szCs w:val="20"/>
              </w:rPr>
            </w:pPr>
            <w:r>
              <w:rPr>
                <w:rFonts w:hint="eastAsia"/>
                <w:sz w:val="24"/>
                <w:szCs w:val="20"/>
              </w:rPr>
              <w:t>近期（2026—2030年）</w:t>
            </w:r>
          </w:p>
        </w:tc>
        <w:tc>
          <w:tcPr>
            <w:tcW w:w="2388" w:type="pct"/>
            <w:vAlign w:val="center"/>
          </w:tcPr>
          <w:p>
            <w:pPr>
              <w:spacing w:line="480" w:lineRule="exact"/>
              <w:ind w:firstLine="0" w:firstLineChars="0"/>
              <w:jc w:val="center"/>
              <w:rPr>
                <w:sz w:val="24"/>
                <w:szCs w:val="20"/>
              </w:rPr>
            </w:pPr>
            <w:r>
              <w:rPr>
                <w:rFonts w:hint="eastAsia"/>
                <w:sz w:val="24"/>
                <w:szCs w:val="20"/>
              </w:rPr>
              <w:t>8160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611" w:type="pct"/>
            <w:vAlign w:val="center"/>
          </w:tcPr>
          <w:p>
            <w:pPr>
              <w:spacing w:line="480" w:lineRule="exact"/>
              <w:ind w:firstLine="0" w:firstLineChars="0"/>
              <w:jc w:val="center"/>
              <w:rPr>
                <w:sz w:val="24"/>
                <w:szCs w:val="20"/>
              </w:rPr>
            </w:pPr>
            <w:r>
              <w:rPr>
                <w:rFonts w:hint="eastAsia"/>
                <w:sz w:val="24"/>
                <w:szCs w:val="20"/>
              </w:rPr>
              <w:t>远期（2031—2035年）</w:t>
            </w:r>
          </w:p>
        </w:tc>
        <w:tc>
          <w:tcPr>
            <w:tcW w:w="2388" w:type="pct"/>
            <w:vAlign w:val="center"/>
          </w:tcPr>
          <w:p>
            <w:pPr>
              <w:spacing w:line="480" w:lineRule="exact"/>
              <w:ind w:firstLine="0" w:firstLineChars="0"/>
              <w:jc w:val="center"/>
              <w:rPr>
                <w:sz w:val="24"/>
                <w:szCs w:val="20"/>
              </w:rPr>
            </w:pPr>
            <w:r>
              <w:rPr>
                <w:rFonts w:hint="eastAsia"/>
                <w:sz w:val="24"/>
                <w:szCs w:val="20"/>
              </w:rPr>
              <w:t>16920</w:t>
            </w:r>
          </w:p>
        </w:tc>
      </w:tr>
    </w:tbl>
    <w:p>
      <w:pPr>
        <w:ind w:firstLine="640"/>
      </w:pPr>
      <w:bookmarkStart w:id="95" w:name="_Toc228174649"/>
      <w:r>
        <w:rPr>
          <w:rFonts w:hint="eastAsia"/>
        </w:rPr>
        <w:t>（2）加油站配套充电设施需求</w:t>
      </w:r>
    </w:p>
    <w:p>
      <w:pPr>
        <w:ind w:firstLine="640"/>
      </w:pPr>
      <w:r>
        <w:rPr>
          <w:rFonts w:hint="eastAsia"/>
        </w:rPr>
        <w:t>结合全市公共充电设施需求总量，以及电动贵州行动要求，近期加快加油站向综合能源站转型，将加油站打造为干线公路、城乡结合部公共快充重要节点。全市各加油加气站体量规模、场地布局及可拓展建设条件存在客观差异，为便于规划总量测算，统一按照单座充电站平均配置4个充电桩进行统筹核定，实际充电枪配置数量可结合站点区位车流、场地实际条件因地制宜优化布设。从建设空间时序来看，近期存量加油站可利用改造场地资源充足，充电设施改造扩容与新建布局空间较大；远期全域加油站可盘活拓展的空余场地逐步趋于饱和，可改造建设空间大幅缩减。结合发展阶段合理设置配桩分担比例，近期适度提升加油站充电设施承载贡献度，分担率取值8%；远期加油站充电设施分担率合理有序回落，坚守跨区域干线、长途出行补能刚需保障底线，维持必要配套能力，远期分担率取值1%。</w:t>
      </w:r>
    </w:p>
    <w:p>
      <w:pPr>
        <w:pStyle w:val="28"/>
      </w:pPr>
      <w:r>
        <w:rPr>
          <w:rFonts w:hint="eastAsia"/>
        </w:rPr>
        <w:t>加油站配套充电设施需求预测值</w:t>
      </w:r>
    </w:p>
    <w:tbl>
      <w:tblPr>
        <w:tblStyle w:val="21"/>
        <w:tblW w:w="856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715"/>
        <w:gridCol w:w="2054"/>
        <w:gridCol w:w="1814"/>
        <w:gridCol w:w="198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715" w:type="dxa"/>
            <w:vAlign w:val="center"/>
          </w:tcPr>
          <w:p>
            <w:pPr>
              <w:spacing w:line="400" w:lineRule="exact"/>
              <w:ind w:firstLine="0" w:firstLineChars="0"/>
              <w:jc w:val="center"/>
              <w:rPr>
                <w:b/>
                <w:bCs/>
                <w:sz w:val="24"/>
                <w:szCs w:val="20"/>
              </w:rPr>
            </w:pPr>
            <w:r>
              <w:rPr>
                <w:rFonts w:hint="eastAsia"/>
                <w:b/>
                <w:bCs/>
                <w:sz w:val="24"/>
                <w:szCs w:val="20"/>
              </w:rPr>
              <w:t>时间</w:t>
            </w:r>
          </w:p>
        </w:tc>
        <w:tc>
          <w:tcPr>
            <w:tcW w:w="2054" w:type="dxa"/>
            <w:vAlign w:val="center"/>
          </w:tcPr>
          <w:p>
            <w:pPr>
              <w:spacing w:line="400" w:lineRule="exact"/>
              <w:ind w:firstLine="0" w:firstLineChars="0"/>
              <w:jc w:val="center"/>
              <w:rPr>
                <w:b/>
                <w:bCs/>
                <w:sz w:val="24"/>
                <w:szCs w:val="20"/>
              </w:rPr>
            </w:pPr>
            <w:r>
              <w:rPr>
                <w:rFonts w:hint="eastAsia"/>
                <w:b/>
                <w:bCs/>
                <w:sz w:val="24"/>
                <w:szCs w:val="20"/>
              </w:rPr>
              <w:t>新建站点配建充电桩（个）</w:t>
            </w:r>
          </w:p>
        </w:tc>
        <w:tc>
          <w:tcPr>
            <w:tcW w:w="1814" w:type="dxa"/>
            <w:vAlign w:val="center"/>
          </w:tcPr>
          <w:p>
            <w:pPr>
              <w:spacing w:line="400" w:lineRule="exact"/>
              <w:ind w:firstLine="0" w:firstLineChars="0"/>
              <w:jc w:val="center"/>
              <w:rPr>
                <w:b/>
                <w:bCs/>
                <w:sz w:val="24"/>
                <w:szCs w:val="20"/>
              </w:rPr>
            </w:pPr>
            <w:r>
              <w:rPr>
                <w:rFonts w:hint="eastAsia"/>
                <w:b/>
                <w:bCs/>
                <w:sz w:val="24"/>
                <w:szCs w:val="20"/>
              </w:rPr>
              <w:t>既有站点增设充电桩（个）</w:t>
            </w:r>
          </w:p>
        </w:tc>
        <w:tc>
          <w:tcPr>
            <w:tcW w:w="1984" w:type="dxa"/>
            <w:vAlign w:val="center"/>
          </w:tcPr>
          <w:p>
            <w:pPr>
              <w:spacing w:line="400" w:lineRule="exact"/>
              <w:ind w:firstLine="0" w:firstLineChars="0"/>
              <w:jc w:val="center"/>
              <w:rPr>
                <w:b/>
                <w:bCs/>
                <w:sz w:val="24"/>
                <w:szCs w:val="20"/>
              </w:rPr>
            </w:pPr>
            <w:r>
              <w:rPr>
                <w:rFonts w:hint="eastAsia"/>
                <w:b/>
                <w:bCs/>
                <w:sz w:val="24"/>
                <w:szCs w:val="20"/>
              </w:rPr>
              <w:t>折算充电站（约4个桩/座）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715" w:type="dxa"/>
            <w:vAlign w:val="center"/>
          </w:tcPr>
          <w:p>
            <w:pPr>
              <w:spacing w:line="400" w:lineRule="exact"/>
              <w:ind w:firstLine="0" w:firstLineChars="0"/>
              <w:jc w:val="center"/>
              <w:rPr>
                <w:sz w:val="24"/>
                <w:szCs w:val="20"/>
              </w:rPr>
            </w:pPr>
            <w:r>
              <w:rPr>
                <w:rFonts w:hint="eastAsia"/>
                <w:sz w:val="24"/>
                <w:szCs w:val="20"/>
              </w:rPr>
              <w:t>近期（2026—2030年）</w:t>
            </w:r>
          </w:p>
        </w:tc>
        <w:tc>
          <w:tcPr>
            <w:tcW w:w="2054" w:type="dxa"/>
            <w:vAlign w:val="center"/>
          </w:tcPr>
          <w:p>
            <w:pPr>
              <w:spacing w:line="400" w:lineRule="exact"/>
              <w:ind w:firstLine="0" w:firstLineChars="0"/>
              <w:jc w:val="center"/>
              <w:rPr>
                <w:sz w:val="24"/>
                <w:szCs w:val="20"/>
              </w:rPr>
            </w:pPr>
            <w:r>
              <w:rPr>
                <w:rFonts w:hint="eastAsia"/>
                <w:sz w:val="24"/>
                <w:szCs w:val="20"/>
              </w:rPr>
              <w:t>56</w:t>
            </w:r>
          </w:p>
        </w:tc>
        <w:tc>
          <w:tcPr>
            <w:tcW w:w="1814" w:type="dxa"/>
            <w:vAlign w:val="center"/>
          </w:tcPr>
          <w:p>
            <w:pPr>
              <w:spacing w:line="400" w:lineRule="exact"/>
              <w:ind w:firstLine="0" w:firstLineChars="0"/>
              <w:jc w:val="center"/>
              <w:rPr>
                <w:sz w:val="24"/>
                <w:szCs w:val="20"/>
              </w:rPr>
            </w:pPr>
            <w:r>
              <w:rPr>
                <w:rFonts w:hint="eastAsia"/>
                <w:sz w:val="24"/>
                <w:szCs w:val="20"/>
              </w:rPr>
              <w:t>597</w:t>
            </w:r>
          </w:p>
        </w:tc>
        <w:tc>
          <w:tcPr>
            <w:tcW w:w="1984" w:type="dxa"/>
            <w:vAlign w:val="center"/>
          </w:tcPr>
          <w:p>
            <w:pPr>
              <w:spacing w:line="400" w:lineRule="exact"/>
              <w:ind w:firstLine="0" w:firstLineChars="0"/>
              <w:jc w:val="center"/>
              <w:rPr>
                <w:sz w:val="24"/>
                <w:szCs w:val="20"/>
              </w:rPr>
            </w:pPr>
            <w:r>
              <w:rPr>
                <w:rFonts w:hint="eastAsia"/>
                <w:sz w:val="24"/>
                <w:szCs w:val="20"/>
              </w:rPr>
              <w:t>163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715" w:type="dxa"/>
            <w:vAlign w:val="center"/>
          </w:tcPr>
          <w:p>
            <w:pPr>
              <w:spacing w:line="400" w:lineRule="exact"/>
              <w:ind w:firstLine="0" w:firstLineChars="0"/>
              <w:jc w:val="center"/>
              <w:rPr>
                <w:sz w:val="24"/>
                <w:szCs w:val="20"/>
              </w:rPr>
            </w:pPr>
            <w:r>
              <w:rPr>
                <w:rFonts w:hint="eastAsia"/>
                <w:sz w:val="24"/>
                <w:szCs w:val="20"/>
              </w:rPr>
              <w:t>远期（2031—2035年）</w:t>
            </w:r>
          </w:p>
        </w:tc>
        <w:tc>
          <w:tcPr>
            <w:tcW w:w="2054" w:type="dxa"/>
            <w:vAlign w:val="center"/>
          </w:tcPr>
          <w:p>
            <w:pPr>
              <w:spacing w:line="400" w:lineRule="exact"/>
              <w:ind w:firstLine="0" w:firstLineChars="0"/>
              <w:jc w:val="center"/>
              <w:rPr>
                <w:sz w:val="24"/>
                <w:szCs w:val="20"/>
              </w:rPr>
            </w:pPr>
            <w:r>
              <w:rPr>
                <w:rFonts w:hint="eastAsia"/>
                <w:sz w:val="24"/>
                <w:szCs w:val="20"/>
              </w:rPr>
              <w:t>24</w:t>
            </w:r>
          </w:p>
        </w:tc>
        <w:tc>
          <w:tcPr>
            <w:tcW w:w="1814" w:type="dxa"/>
            <w:vAlign w:val="center"/>
          </w:tcPr>
          <w:p>
            <w:pPr>
              <w:spacing w:line="400" w:lineRule="exact"/>
              <w:ind w:firstLine="0" w:firstLineChars="0"/>
              <w:jc w:val="center"/>
              <w:rPr>
                <w:sz w:val="24"/>
                <w:szCs w:val="20"/>
              </w:rPr>
            </w:pPr>
            <w:r>
              <w:rPr>
                <w:rFonts w:hint="eastAsia"/>
                <w:sz w:val="24"/>
                <w:szCs w:val="20"/>
              </w:rPr>
              <w:t>145</w:t>
            </w:r>
          </w:p>
        </w:tc>
        <w:tc>
          <w:tcPr>
            <w:tcW w:w="1984" w:type="dxa"/>
            <w:vAlign w:val="center"/>
          </w:tcPr>
          <w:p>
            <w:pPr>
              <w:spacing w:line="400" w:lineRule="exact"/>
              <w:ind w:firstLine="0" w:firstLineChars="0"/>
              <w:jc w:val="center"/>
              <w:rPr>
                <w:sz w:val="24"/>
                <w:szCs w:val="20"/>
              </w:rPr>
            </w:pPr>
            <w:r>
              <w:rPr>
                <w:rFonts w:hint="eastAsia"/>
                <w:sz w:val="24"/>
                <w:szCs w:val="20"/>
              </w:rPr>
              <w:t>42</w:t>
            </w:r>
          </w:p>
        </w:tc>
      </w:tr>
    </w:tbl>
    <w:p>
      <w:pPr>
        <w:pStyle w:val="2"/>
      </w:pPr>
      <w:bookmarkStart w:id="96" w:name="_Toc26389"/>
      <w:bookmarkStart w:id="97" w:name="_Toc15635"/>
      <w:bookmarkStart w:id="98" w:name="_Toc237424184"/>
      <w:bookmarkStart w:id="99" w:name="_Toc18027"/>
      <w:r>
        <w:rPr>
          <w:rFonts w:hint="eastAsia"/>
        </w:rPr>
        <w:t>四、加油加气加氢充电站网点布局方案</w:t>
      </w:r>
      <w:bookmarkEnd w:id="95"/>
      <w:bookmarkEnd w:id="96"/>
      <w:bookmarkEnd w:id="97"/>
      <w:bookmarkEnd w:id="98"/>
      <w:bookmarkEnd w:id="99"/>
    </w:p>
    <w:p>
      <w:pPr>
        <w:pStyle w:val="3"/>
      </w:pPr>
      <w:bookmarkStart w:id="100" w:name="_Toc31532"/>
      <w:bookmarkStart w:id="101" w:name="_Toc237424185"/>
      <w:bookmarkStart w:id="102" w:name="_Toc8020"/>
      <w:bookmarkStart w:id="103" w:name="_Toc26312"/>
      <w:bookmarkStart w:id="104" w:name="_Toc228174650"/>
      <w:r>
        <w:rPr>
          <w:rFonts w:hint="eastAsia"/>
        </w:rPr>
        <w:t>（一）指导思想</w:t>
      </w:r>
      <w:bookmarkEnd w:id="100"/>
      <w:bookmarkEnd w:id="101"/>
      <w:bookmarkEnd w:id="102"/>
      <w:bookmarkEnd w:id="103"/>
      <w:bookmarkEnd w:id="104"/>
    </w:p>
    <w:p>
      <w:pPr>
        <w:ind w:firstLine="640"/>
      </w:pPr>
      <w:r>
        <w:rPr>
          <w:rFonts w:hint="eastAsia"/>
        </w:rPr>
        <w:t>以习近平新时代中国特色社会主义思想为指导，全面贯彻党的二十大和二十届历次全会精神，按照党中央、国务院决策部署，立足新发展阶段，完整、准确、全面贯彻新发展理念，构建新发展格局，以推动高质量发展为主题，以深化供给侧结构性改革为主线，以改革创新为根本动力，以满足人民日益增长的美好生活需要为根本目的，紧扣</w:t>
      </w:r>
      <w:r>
        <w:rPr>
          <w:rFonts w:hint="eastAsia"/>
          <w:lang w:eastAsia="zh-CN"/>
        </w:rPr>
        <w:t>“</w:t>
      </w:r>
      <w:r>
        <w:rPr>
          <w:rFonts w:hint="eastAsia"/>
        </w:rPr>
        <w:t>双碳</w:t>
      </w:r>
      <w:r>
        <w:rPr>
          <w:rFonts w:hint="eastAsia"/>
          <w:lang w:eastAsia="zh-CN"/>
        </w:rPr>
        <w:t>”</w:t>
      </w:r>
      <w:r>
        <w:rPr>
          <w:rFonts w:hint="eastAsia"/>
        </w:rPr>
        <w:t>目标导向，坚持</w:t>
      </w:r>
      <w:r>
        <w:rPr>
          <w:rFonts w:hint="eastAsia"/>
          <w:lang w:eastAsia="zh-CN"/>
        </w:rPr>
        <w:t>“</w:t>
      </w:r>
      <w:r>
        <w:rPr>
          <w:rFonts w:hint="eastAsia"/>
        </w:rPr>
        <w:t>总量控制、存量优化、功能复合</w:t>
      </w:r>
      <w:r>
        <w:rPr>
          <w:rFonts w:hint="eastAsia"/>
          <w:lang w:eastAsia="zh-CN"/>
        </w:rPr>
        <w:t>”</w:t>
      </w:r>
      <w:r>
        <w:rPr>
          <w:rFonts w:hint="eastAsia"/>
        </w:rPr>
        <w:t>，统筹成品油、天然气、电力、氢能多元基础设施一体布局，促进中心城区与乡镇农村网点协调发展、城乡用能服务均等可及，加快构建清洁低碳、安全高效的综合供能网络，全面提升加油加气加氢充电基础设施现代化水平，为全省经济社会持续健康发展提供坚实保障。</w:t>
      </w:r>
    </w:p>
    <w:p>
      <w:pPr>
        <w:pStyle w:val="3"/>
      </w:pPr>
      <w:bookmarkStart w:id="105" w:name="_Toc237424186"/>
      <w:bookmarkStart w:id="106" w:name="_Toc228174651"/>
      <w:bookmarkStart w:id="107" w:name="_Toc7585"/>
      <w:bookmarkStart w:id="108" w:name="_Toc17778"/>
      <w:bookmarkStart w:id="109" w:name="_Toc29584"/>
      <w:r>
        <w:rPr>
          <w:rFonts w:hint="eastAsia"/>
        </w:rPr>
        <w:t>（二）布局原则</w:t>
      </w:r>
      <w:bookmarkEnd w:id="105"/>
      <w:bookmarkEnd w:id="106"/>
      <w:bookmarkEnd w:id="107"/>
      <w:bookmarkEnd w:id="108"/>
      <w:bookmarkEnd w:id="109"/>
    </w:p>
    <w:p>
      <w:pPr>
        <w:ind w:firstLine="643"/>
      </w:pPr>
      <w:r>
        <w:rPr>
          <w:rFonts w:hint="eastAsia"/>
          <w:b/>
          <w:bCs/>
        </w:rPr>
        <w:t>统筹衔接、量质并重。</w:t>
      </w:r>
      <w:r>
        <w:rPr>
          <w:rFonts w:hint="eastAsia"/>
        </w:rPr>
        <w:t>坚持与国土空间规划深度衔接，统筹城乡、区域与路网结构布局，科学控制总量、盘活存量资源、提升供给质量，严格管控新增布点，构建布局均衡、结构优化、效能突出的加油加气加氢充电综合能源网络。本次规划预测的新增站点总量已包含高速公路服务区配套站点需求，列入规划站点清单统一布局。高速服务区内补能站点实行</w:t>
      </w:r>
      <w:r>
        <w:rPr>
          <w:rFonts w:hint="eastAsia"/>
          <w:lang w:eastAsia="zh-CN"/>
        </w:rPr>
        <w:t>“</w:t>
      </w:r>
      <w:r>
        <w:rPr>
          <w:rFonts w:hint="eastAsia"/>
        </w:rPr>
        <w:t>总量包含、规则单列</w:t>
      </w:r>
      <w:r>
        <w:rPr>
          <w:rFonts w:hint="eastAsia"/>
          <w:lang w:eastAsia="zh-CN"/>
        </w:rPr>
        <w:t>”</w:t>
      </w:r>
      <w:r>
        <w:rPr>
          <w:rFonts w:hint="eastAsia"/>
        </w:rPr>
        <w:t>，指标从属全市总量、不另行增设，且不得与城乡及国省道普通站点指标相互调剂。高速公路出入口、连接线及互通周边的独立补能站点，纳入市域普通网点统一指标管控。</w:t>
      </w:r>
    </w:p>
    <w:p>
      <w:pPr>
        <w:ind w:firstLine="643"/>
      </w:pPr>
      <w:r>
        <w:rPr>
          <w:rFonts w:hint="eastAsia"/>
          <w:b/>
          <w:bCs/>
        </w:rPr>
        <w:t>存量优化、动态调控。</w:t>
      </w:r>
      <w:r>
        <w:rPr>
          <w:rFonts w:hint="eastAsia"/>
        </w:rPr>
        <w:t>鼓励现有站点升级改造，推动低效、不合规站点依法有序退出。针对因城市更新、道路改扩建、规划调整产生的迁建站点，实行</w:t>
      </w:r>
      <w:r>
        <w:rPr>
          <w:rFonts w:hint="eastAsia"/>
          <w:lang w:eastAsia="zh-CN"/>
        </w:rPr>
        <w:t>“</w:t>
      </w:r>
      <w:r>
        <w:rPr>
          <w:rFonts w:hint="eastAsia"/>
        </w:rPr>
        <w:t>拆一还一、总量不变</w:t>
      </w:r>
      <w:r>
        <w:rPr>
          <w:rFonts w:hint="eastAsia"/>
          <w:lang w:eastAsia="zh-CN"/>
        </w:rPr>
        <w:t>”</w:t>
      </w:r>
      <w:r>
        <w:rPr>
          <w:rFonts w:hint="eastAsia"/>
        </w:rPr>
        <w:t>管控模式。原地合规整改、原址提质升级、公益性拆一还一迁建站点，不占用本期新增规划指标；自主申请异地扩容、增配业态的迁建站点，纳入当期新增指标统一管控。</w:t>
      </w:r>
    </w:p>
    <w:p>
      <w:pPr>
        <w:ind w:firstLine="643"/>
      </w:pPr>
      <w:r>
        <w:rPr>
          <w:rFonts w:hint="eastAsia"/>
          <w:b/>
          <w:bCs/>
        </w:rPr>
        <w:t>绿色低碳、多元融合。</w:t>
      </w:r>
      <w:r>
        <w:rPr>
          <w:rFonts w:hint="eastAsia"/>
        </w:rPr>
        <w:t>紧扣</w:t>
      </w:r>
      <w:r>
        <w:rPr>
          <w:rFonts w:hint="eastAsia"/>
          <w:lang w:eastAsia="zh-CN"/>
        </w:rPr>
        <w:t>“</w:t>
      </w:r>
      <w:r>
        <w:rPr>
          <w:rFonts w:hint="eastAsia"/>
        </w:rPr>
        <w:t>双碳</w:t>
      </w:r>
      <w:r>
        <w:rPr>
          <w:rFonts w:hint="eastAsia"/>
          <w:lang w:eastAsia="zh-CN"/>
        </w:rPr>
        <w:t>”</w:t>
      </w:r>
      <w:r>
        <w:rPr>
          <w:rFonts w:hint="eastAsia"/>
        </w:rPr>
        <w:t>目标，鼓励在存量加油站基础上增加LNG/CNG、氢能、甲醇等加注功能，建设综合能源站，推动加油、加气、加氢、充电一体化发展，促进传统能源与新能源融合互补。在高速公路加油站增设加气站功能，由外向内最大化布局。</w:t>
      </w:r>
    </w:p>
    <w:p>
      <w:pPr>
        <w:ind w:firstLine="643"/>
      </w:pPr>
      <w:r>
        <w:rPr>
          <w:rFonts w:hint="eastAsia"/>
          <w:b/>
          <w:bCs/>
        </w:rPr>
        <w:t>安全规范、合规有序。</w:t>
      </w:r>
      <w:r>
        <w:rPr>
          <w:rFonts w:hint="eastAsia"/>
        </w:rPr>
        <w:t>严格执行国家及行业技术标准，强化安全底线，确保选址、建设、运营全流程符合消防、安全、环保要求，实现全链条规范管理、全过程风险可控。不符合加油站建设标准的加氢/气站或综合能源站，不得增设加油功能。已建成加氢/气站或综合能源站确需增加加油功能的，须符合加油站布局规划，且其用地性质应为加油站建设所需用地性质。</w:t>
      </w:r>
    </w:p>
    <w:p>
      <w:pPr>
        <w:ind w:firstLine="643"/>
      </w:pPr>
      <w:r>
        <w:rPr>
          <w:rFonts w:hint="eastAsia"/>
          <w:b/>
          <w:bCs/>
        </w:rPr>
        <w:t>服务民生、保障重点。</w:t>
      </w:r>
      <w:r>
        <w:rPr>
          <w:rFonts w:hint="eastAsia"/>
        </w:rPr>
        <w:t>重点保障高速公路、国省干线、城镇建成区、重点产业园区、乡镇及农村地区车辆用能需求。新增站点优先向供油服务短板突出的乡镇倾斜，着力补齐农村便民供油服务短板，推动乡镇加油加气加氢充电站点全覆盖、消除布点空白，切实满足生产生活用能需要，支撑经济社会高质量发展。</w:t>
      </w:r>
    </w:p>
    <w:p>
      <w:pPr>
        <w:pStyle w:val="3"/>
      </w:pPr>
      <w:bookmarkStart w:id="110" w:name="_Toc10531"/>
      <w:bookmarkStart w:id="111" w:name="_Toc237424187"/>
      <w:bookmarkStart w:id="112" w:name="_Toc1698"/>
      <w:bookmarkStart w:id="113" w:name="_Toc22325"/>
      <w:bookmarkStart w:id="114" w:name="_Toc228174652"/>
      <w:r>
        <w:rPr>
          <w:rFonts w:hint="eastAsia"/>
        </w:rPr>
        <w:t>（三）</w:t>
      </w:r>
      <w:r>
        <w:rPr>
          <w:rFonts w:hint="eastAsia" w:asciiTheme="majorHAnsi" w:hAnsiTheme="majorHAnsi"/>
        </w:rPr>
        <w:t>布局</w:t>
      </w:r>
      <w:r>
        <w:rPr>
          <w:rFonts w:hint="eastAsia"/>
        </w:rPr>
        <w:t>目标</w:t>
      </w:r>
      <w:bookmarkEnd w:id="110"/>
      <w:bookmarkEnd w:id="111"/>
      <w:bookmarkEnd w:id="112"/>
      <w:bookmarkEnd w:id="113"/>
      <w:bookmarkEnd w:id="114"/>
    </w:p>
    <w:p>
      <w:pPr>
        <w:ind w:firstLine="640"/>
      </w:pPr>
      <w:r>
        <w:rPr>
          <w:rFonts w:hint="eastAsia"/>
        </w:rPr>
        <w:t>结合全市经济发展速度、公路交通规划建设、车流量变化、城乡发展态势及现有各类站点网络现状，持续优化完善加油加气加氢充电综合能源网络，为我市经济平稳发展和满足广大消费者生产生活需求提供坚实保障。</w:t>
      </w:r>
    </w:p>
    <w:p>
      <w:pPr>
        <w:ind w:firstLine="643"/>
      </w:pPr>
      <w:r>
        <w:rPr>
          <w:rFonts w:hint="eastAsia"/>
          <w:b/>
          <w:bCs/>
        </w:rPr>
        <w:t>网络覆盖更加均衡：</w:t>
      </w:r>
      <w:r>
        <w:rPr>
          <w:rFonts w:hint="eastAsia"/>
        </w:rPr>
        <w:t>高速公路、国省干线、县域城镇、重点园区、乡镇农村服务半径全面达标，服务盲区基本消除。</w:t>
      </w:r>
    </w:p>
    <w:p>
      <w:pPr>
        <w:ind w:firstLine="643"/>
      </w:pPr>
      <w:r>
        <w:rPr>
          <w:rFonts w:hint="eastAsia"/>
          <w:b/>
          <w:bCs/>
        </w:rPr>
        <w:t>能源结构更加优化：</w:t>
      </w:r>
      <w:r>
        <w:rPr>
          <w:rFonts w:hint="eastAsia"/>
        </w:rPr>
        <w:t>综合能源站占比稳步提升，充电、加氢设施加快普及，形成</w:t>
      </w:r>
      <w:r>
        <w:rPr>
          <w:rFonts w:hint="eastAsia"/>
          <w:lang w:eastAsia="zh-CN"/>
        </w:rPr>
        <w:t>“</w:t>
      </w:r>
      <w:r>
        <w:rPr>
          <w:rFonts w:hint="eastAsia"/>
        </w:rPr>
        <w:t>油、气、电、氢</w:t>
      </w:r>
      <w:r>
        <w:rPr>
          <w:rFonts w:hint="eastAsia"/>
          <w:lang w:eastAsia="zh-CN"/>
        </w:rPr>
        <w:t>”</w:t>
      </w:r>
      <w:r>
        <w:rPr>
          <w:rFonts w:hint="eastAsia"/>
        </w:rPr>
        <w:t>多元供给格局。</w:t>
      </w:r>
    </w:p>
    <w:p>
      <w:pPr>
        <w:ind w:firstLine="643"/>
      </w:pPr>
      <w:r>
        <w:rPr>
          <w:rFonts w:hint="eastAsia"/>
          <w:b/>
          <w:bCs/>
        </w:rPr>
        <w:t>服务能力更加高效：</w:t>
      </w:r>
      <w:r>
        <w:rPr>
          <w:rFonts w:hint="eastAsia"/>
        </w:rPr>
        <w:t>站点规模化、规范化、智慧化水平显著提高，运营安全、环保水平全面提升。</w:t>
      </w:r>
    </w:p>
    <w:p>
      <w:pPr>
        <w:ind w:firstLine="643"/>
      </w:pPr>
      <w:r>
        <w:rPr>
          <w:rFonts w:hint="eastAsia"/>
          <w:b/>
          <w:bCs/>
        </w:rPr>
        <w:t>保障能力更加坚实：</w:t>
      </w:r>
      <w:r>
        <w:rPr>
          <w:rFonts w:hint="eastAsia"/>
        </w:rPr>
        <w:t>与机动车保有量、能源消费结构、产业发展需求相匹配，为经济社会发展提供稳定可靠的车用能源保障。</w:t>
      </w:r>
    </w:p>
    <w:p>
      <w:pPr>
        <w:ind w:firstLine="643"/>
        <w:rPr>
          <w:highlight w:val="yellow"/>
        </w:rPr>
      </w:pPr>
      <w:r>
        <w:rPr>
          <w:rFonts w:hint="eastAsia"/>
          <w:b/>
          <w:bCs/>
        </w:rPr>
        <w:t>到</w:t>
      </w:r>
      <w:r>
        <w:rPr>
          <w:b/>
          <w:bCs/>
        </w:rPr>
        <w:t>2030</w:t>
      </w:r>
      <w:r>
        <w:rPr>
          <w:rFonts w:hint="eastAsia"/>
          <w:b/>
          <w:bCs/>
        </w:rPr>
        <w:t>年，</w:t>
      </w:r>
      <w:r>
        <w:rPr>
          <w:rFonts w:hint="eastAsia"/>
        </w:rPr>
        <w:t>六盘水市规划新增布局加油站</w:t>
      </w:r>
      <w:r>
        <w:rPr>
          <w:rFonts w:hint="eastAsia"/>
          <w:lang w:val="en-US" w:eastAsia="zh-CN"/>
        </w:rPr>
        <w:t>29</w:t>
      </w:r>
      <w:r>
        <w:rPr>
          <w:rFonts w:hint="eastAsia"/>
        </w:rPr>
        <w:t>座；规划加气、加氢站37座；同步在加油</w:t>
      </w:r>
      <w:r>
        <w:t>/</w:t>
      </w:r>
      <w:r>
        <w:rPr>
          <w:rFonts w:hint="eastAsia"/>
        </w:rPr>
        <w:t>气</w:t>
      </w:r>
      <w:r>
        <w:t>/</w:t>
      </w:r>
      <w:r>
        <w:rPr>
          <w:rFonts w:hint="eastAsia"/>
        </w:rPr>
        <w:t>氢站配套建设充电站</w:t>
      </w:r>
      <w:r>
        <w:t>163</w:t>
      </w:r>
      <w:r>
        <w:rPr>
          <w:rFonts w:hint="eastAsia"/>
        </w:rPr>
        <w:t>座基本建成布局科学合理、覆盖城乡全域、功能业态完善、绿色智能低碳、运营安全规范的现代化加油、加气、加氢、充电一体化综合能源保障网络。</w:t>
      </w:r>
    </w:p>
    <w:p>
      <w:pPr>
        <w:ind w:firstLine="643"/>
      </w:pPr>
      <w:r>
        <w:rPr>
          <w:rFonts w:hint="eastAsia"/>
          <w:b/>
          <w:bCs/>
        </w:rPr>
        <w:t>到</w:t>
      </w:r>
      <w:r>
        <w:rPr>
          <w:b/>
          <w:bCs/>
        </w:rPr>
        <w:t>2035</w:t>
      </w:r>
      <w:r>
        <w:rPr>
          <w:rFonts w:hint="eastAsia"/>
          <w:b/>
          <w:bCs/>
        </w:rPr>
        <w:t>年，</w:t>
      </w:r>
      <w:r>
        <w:rPr>
          <w:rFonts w:hint="eastAsia"/>
        </w:rPr>
        <w:t>持续优化市域能源补给场站空间布局，规划新增建设加油站</w:t>
      </w:r>
      <w:r>
        <w:t>6</w:t>
      </w:r>
      <w:r>
        <w:rPr>
          <w:rFonts w:hint="eastAsia"/>
        </w:rPr>
        <w:t>座、加气设施</w:t>
      </w:r>
      <w:r>
        <w:t>4</w:t>
      </w:r>
      <w:r>
        <w:rPr>
          <w:rFonts w:hint="eastAsia"/>
        </w:rPr>
        <w:t>座、加氢站</w:t>
      </w:r>
      <w:r>
        <w:t>10</w:t>
      </w:r>
      <w:r>
        <w:rPr>
          <w:rFonts w:hint="eastAsia"/>
        </w:rPr>
        <w:t>座，配套建设充电站</w:t>
      </w:r>
      <w:r>
        <w:t>42</w:t>
      </w:r>
      <w:r>
        <w:rPr>
          <w:rFonts w:hint="eastAsia"/>
        </w:rPr>
        <w:t>座。进一步补齐城乡及干线路网补能短板，完善多层次、广覆盖、一体化的综合能源服务体系，持续支撑全市交通运输绿色低碳转型与城乡能源保障能力提质升级。</w:t>
      </w:r>
    </w:p>
    <w:p>
      <w:pPr>
        <w:pStyle w:val="3"/>
        <w:numPr>
          <w:ilvl w:val="255"/>
          <w:numId w:val="0"/>
        </w:numPr>
      </w:pPr>
      <w:bookmarkStart w:id="115" w:name="_Toc237424188"/>
      <w:bookmarkStart w:id="116" w:name="_Toc13831"/>
      <w:bookmarkStart w:id="117" w:name="_Toc24143"/>
      <w:bookmarkStart w:id="118" w:name="_Toc6655"/>
      <w:bookmarkStart w:id="119" w:name="_Toc228174653"/>
      <w:r>
        <w:rPr>
          <w:rFonts w:hint="eastAsia"/>
        </w:rPr>
        <w:t>（四）建设要求</w:t>
      </w:r>
      <w:bookmarkEnd w:id="115"/>
      <w:bookmarkEnd w:id="116"/>
      <w:bookmarkEnd w:id="117"/>
      <w:bookmarkEnd w:id="118"/>
      <w:bookmarkEnd w:id="119"/>
    </w:p>
    <w:p>
      <w:pPr>
        <w:pStyle w:val="4"/>
        <w:ind w:firstLine="643"/>
      </w:pPr>
      <w:r>
        <w:rPr>
          <w:rFonts w:hint="eastAsia"/>
        </w:rPr>
        <w:t>1.</w:t>
      </w:r>
      <w:r>
        <w:t>加油站设置基本指标</w:t>
      </w:r>
    </w:p>
    <w:p>
      <w:pPr>
        <w:ind w:firstLine="640"/>
      </w:pPr>
      <w:r>
        <w:rPr>
          <w:rFonts w:hint="eastAsia"/>
        </w:rPr>
        <w:t>（1）服务半径控制</w:t>
      </w:r>
    </w:p>
    <w:p>
      <w:pPr>
        <w:ind w:firstLine="640"/>
      </w:pPr>
      <w:r>
        <w:rPr>
          <w:rFonts w:hint="eastAsia"/>
        </w:rPr>
        <w:t>根据《成品油零售企业管理技术规范》（SB/T10390-2004）要求：国省道、县乡道沿线加油站每百公里不超过</w:t>
      </w:r>
      <w:r>
        <w:t>6</w:t>
      </w:r>
      <w:r>
        <w:rPr>
          <w:rFonts w:hint="eastAsia"/>
        </w:rPr>
        <w:t>对（道路同侧车行距离不低于15公里），加气站设置每百公里不超过2对。高速公路加油站的设置应在高速公路服务区内，每百公里不超过</w:t>
      </w:r>
      <w:r>
        <w:t>2</w:t>
      </w:r>
      <w:r>
        <w:rPr>
          <w:rFonts w:hint="eastAsia"/>
        </w:rPr>
        <w:t>对（道路同侧车行距离不低于50公里）；加气站的设置应在高速公路服务区加油加气站用地范围内，每百公里1对。城区内加油站服务半径不小于</w:t>
      </w:r>
      <w:r>
        <w:t>0.9</w:t>
      </w:r>
      <w:r>
        <w:rPr>
          <w:rFonts w:hint="eastAsia"/>
        </w:rPr>
        <w:t>公里（行车距离不低于1.8公里）。</w:t>
      </w:r>
    </w:p>
    <w:p>
      <w:pPr>
        <w:ind w:firstLine="640"/>
      </w:pPr>
      <w:r>
        <w:rPr>
          <w:rFonts w:hint="eastAsia"/>
        </w:rPr>
        <w:t>自然资源部门应按上述距离控制标准进行供地，未按标准供地的，加油（气/氢）站行业主管部门不得核发行政许可。同时，项目开工前依法完成施工图审查、质量安全监督登记，办结施工许可证以及完成消防设计审查，严禁未批先建、边建边批，竣工后必须申请住建部门消防验收，审验不合格不得竣工验收、不得运营投用。</w:t>
      </w:r>
    </w:p>
    <w:p>
      <w:pPr>
        <w:ind w:firstLine="640"/>
      </w:pPr>
      <w:r>
        <w:rPr>
          <w:rFonts w:hint="eastAsia"/>
        </w:rPr>
        <w:t>（2）功能配置要求</w:t>
      </w:r>
    </w:p>
    <w:p>
      <w:pPr>
        <w:ind w:firstLine="640"/>
      </w:pPr>
      <w:r>
        <w:t>新建、改扩建加油站应预留充电、加氢、加气建设条件，鼓励建设</w:t>
      </w:r>
      <w:r>
        <w:rPr>
          <w:rFonts w:hint="eastAsia"/>
        </w:rPr>
        <w:t>具有综合</w:t>
      </w:r>
      <w:r>
        <w:t>服务功能</w:t>
      </w:r>
      <w:r>
        <w:rPr>
          <w:rFonts w:hint="eastAsia"/>
        </w:rPr>
        <w:t>的站点。同时，增设加氢、加气、充电等综合能源服务站时，涉及有计量器具需按要求检定，涉及铺设管道前需向市场监管部门办理相关手续。</w:t>
      </w:r>
    </w:p>
    <w:p>
      <w:pPr>
        <w:pStyle w:val="4"/>
        <w:ind w:firstLine="643"/>
      </w:pPr>
      <w:r>
        <w:rPr>
          <w:rFonts w:hint="eastAsia"/>
        </w:rPr>
        <w:t>2.</w:t>
      </w:r>
      <w:r>
        <w:t>加油站选址基本要求</w:t>
      </w:r>
    </w:p>
    <w:p>
      <w:pPr>
        <w:ind w:firstLine="640"/>
      </w:pPr>
      <w:r>
        <w:rPr>
          <w:rFonts w:hint="eastAsia"/>
        </w:rPr>
        <w:t>（1）符合规划管控</w:t>
      </w:r>
    </w:p>
    <w:p>
      <w:pPr>
        <w:ind w:firstLine="640"/>
      </w:pPr>
      <w:r>
        <w:rPr>
          <w:rFonts w:hint="eastAsia"/>
        </w:rPr>
        <w:t>必须符合市、县两级国土空间总体规划、区域详细规划及生态环境管控要求，遵守</w:t>
      </w:r>
      <w:r>
        <w:rPr>
          <w:rFonts w:hint="eastAsia"/>
          <w:lang w:eastAsia="zh-CN"/>
        </w:rPr>
        <w:t>“</w:t>
      </w:r>
      <w:r>
        <w:rPr>
          <w:rFonts w:hint="eastAsia"/>
        </w:rPr>
        <w:t>三线一单</w:t>
      </w:r>
      <w:r>
        <w:rPr>
          <w:rFonts w:hint="eastAsia"/>
          <w:lang w:eastAsia="zh-CN"/>
        </w:rPr>
        <w:t>”</w:t>
      </w:r>
      <w:r>
        <w:rPr>
          <w:rFonts w:hint="eastAsia"/>
        </w:rPr>
        <w:t>管控规则；严禁在生态保护红线、永久基本农田、饮用水水源保护区、自然保护地内选址，严控占用林地建设。自然资源部门供地前除应符合本规划布点外，还须向涉及加油/气/氢站建设审批的各行政部门征集符合性意见和建议，确保所供土地满足管控要求。</w:t>
      </w:r>
    </w:p>
    <w:p>
      <w:pPr>
        <w:ind w:firstLine="640"/>
      </w:pPr>
      <w:r>
        <w:rPr>
          <w:rFonts w:hint="eastAsia"/>
        </w:rPr>
        <w:t>（2）满足安全消防</w:t>
      </w:r>
    </w:p>
    <w:p>
      <w:pPr>
        <w:ind w:firstLine="640"/>
      </w:pPr>
      <w:r>
        <w:rPr>
          <w:rFonts w:hint="eastAsia"/>
        </w:rPr>
        <w:t>严格执行《汽车加油加气加氢站技术标准》（GB50156），与学校、医院、居住区、公共设施等保持规定安全距离，地势平坦、排水通畅、地质条件稳定。</w:t>
      </w:r>
    </w:p>
    <w:p>
      <w:pPr>
        <w:ind w:firstLine="640"/>
      </w:pPr>
      <w:r>
        <w:rPr>
          <w:rFonts w:hint="eastAsia"/>
        </w:rPr>
        <w:t>（</w:t>
      </w:r>
      <w:r>
        <w:t>3</w:t>
      </w:r>
      <w:r>
        <w:rPr>
          <w:rFonts w:hint="eastAsia"/>
        </w:rPr>
        <w:t>）交通便利顺畅</w:t>
      </w:r>
    </w:p>
    <w:p>
      <w:pPr>
        <w:ind w:firstLine="640"/>
      </w:pPr>
      <w:r>
        <w:rPr>
          <w:rFonts w:hint="eastAsia"/>
        </w:rPr>
        <w:t>靠近交通干线、交通枢纽或主要车流通道，出入口设置合理，不影响主干路通行安全，便于车辆进出停靠。选址尽量避开长下坡、急弯、路口红绿灯等风险路段，与学校、医院等人流密集场所保持足够安全间距，消除交通冲突隐患。</w:t>
      </w:r>
    </w:p>
    <w:p>
      <w:pPr>
        <w:ind w:firstLine="640"/>
      </w:pPr>
      <w:r>
        <w:rPr>
          <w:rFonts w:hint="eastAsia"/>
        </w:rPr>
        <w:t>（4）集约节约用地</w:t>
      </w:r>
    </w:p>
    <w:p>
      <w:pPr>
        <w:ind w:firstLine="640"/>
      </w:pPr>
      <w:r>
        <w:rPr>
          <w:rFonts w:hint="eastAsia"/>
        </w:rPr>
        <w:t>优先利用存量建设用地、低效用地再开发，严控新增建设用地，鼓励建设占地少、集约化程度高的站点。</w:t>
      </w:r>
    </w:p>
    <w:p>
      <w:pPr>
        <w:ind w:firstLine="640"/>
      </w:pPr>
      <w:r>
        <w:rPr>
          <w:rFonts w:hint="eastAsia"/>
        </w:rPr>
        <w:t>（5）环保合规要求</w:t>
      </w:r>
    </w:p>
    <w:p>
      <w:pPr>
        <w:ind w:firstLine="640"/>
      </w:pPr>
      <w:r>
        <w:rPr>
          <w:rFonts w:hint="eastAsia"/>
        </w:rPr>
        <w:t>应充分考虑对周围环境的影响，必须配套建设油气回收、防渗、雨水收集等环保设施，满足大气、水、土壤、噪声环境保护要求。</w:t>
      </w:r>
    </w:p>
    <w:p>
      <w:pPr>
        <w:pStyle w:val="4"/>
        <w:ind w:firstLine="643"/>
      </w:pPr>
      <w:r>
        <w:rPr>
          <w:rFonts w:hint="eastAsia"/>
        </w:rPr>
        <w:t>3.</w:t>
      </w:r>
      <w:r>
        <w:t>鼓励发展综合能源站</w:t>
      </w:r>
    </w:p>
    <w:p>
      <w:pPr>
        <w:ind w:firstLine="640"/>
      </w:pPr>
      <w:r>
        <w:rPr>
          <w:rFonts w:hint="eastAsia"/>
        </w:rPr>
        <w:t>为践行以人民为中心的发展思想，贯彻落实</w:t>
      </w:r>
      <w:r>
        <w:rPr>
          <w:rFonts w:hint="eastAsia"/>
          <w:lang w:eastAsia="zh-CN"/>
        </w:rPr>
        <w:t>“</w:t>
      </w:r>
      <w:r>
        <w:rPr>
          <w:rFonts w:hint="eastAsia"/>
        </w:rPr>
        <w:t>双碳</w:t>
      </w:r>
      <w:r>
        <w:rPr>
          <w:rFonts w:hint="eastAsia"/>
          <w:lang w:eastAsia="zh-CN"/>
        </w:rPr>
        <w:t>”</w:t>
      </w:r>
      <w:r>
        <w:rPr>
          <w:rFonts w:hint="eastAsia"/>
        </w:rPr>
        <w:t>目标与新能源发展政策，积极发展油、电、气、氢等综合供能服务。按照</w:t>
      </w:r>
      <w:r>
        <w:rPr>
          <w:rFonts w:hint="eastAsia"/>
          <w:lang w:eastAsia="zh-CN"/>
        </w:rPr>
        <w:t>“</w:t>
      </w:r>
      <w:r>
        <w:rPr>
          <w:rFonts w:hint="eastAsia"/>
        </w:rPr>
        <w:t>新建一批、提升一批、改造一批</w:t>
      </w:r>
      <w:r>
        <w:rPr>
          <w:rFonts w:hint="eastAsia"/>
          <w:lang w:eastAsia="zh-CN"/>
        </w:rPr>
        <w:t>”</w:t>
      </w:r>
      <w:r>
        <w:rPr>
          <w:rFonts w:hint="eastAsia"/>
        </w:rPr>
        <w:t>的思路，统筹推进一体化综合能源站建设：对客货运枢纽、重点景区、城市新区、国省干线等重点区域的新建站点，直接按具备两种及以上能源补给功能的标准规划建设；对有条件的现有加油站、加气站，支持其在保障成品油供应的基础上，通过改（扩）建加氢、充换电设施，实现向多能互补、服务多元的综合能源服务站转型升级。</w:t>
      </w:r>
    </w:p>
    <w:p>
      <w:pPr>
        <w:ind w:firstLine="640"/>
      </w:pPr>
      <w:r>
        <w:rPr>
          <w:rFonts w:hint="eastAsia"/>
        </w:rPr>
        <w:t>在指标管理上，实行以下规则：</w:t>
      </w:r>
    </w:p>
    <w:p>
      <w:pPr>
        <w:ind w:firstLine="640"/>
      </w:pPr>
      <w:r>
        <w:rPr>
          <w:rFonts w:hint="eastAsia"/>
        </w:rPr>
        <w:t>（1）为节约土地资源，强化综合服务功能，现有合规加油站按需增设加气业态的，须按照《省商务厅关于做好成品油（气）分销体系</w:t>
      </w:r>
      <w:r>
        <w:rPr>
          <w:rFonts w:hint="eastAsia"/>
          <w:lang w:eastAsia="zh-CN"/>
        </w:rPr>
        <w:t>“</w:t>
      </w:r>
      <w:r>
        <w:rPr>
          <w:rFonts w:hint="eastAsia"/>
        </w:rPr>
        <w:t>十五五</w:t>
      </w:r>
      <w:r>
        <w:rPr>
          <w:rFonts w:hint="eastAsia"/>
          <w:lang w:eastAsia="zh-CN"/>
        </w:rPr>
        <w:t>”</w:t>
      </w:r>
      <w:r>
        <w:rPr>
          <w:rFonts w:hint="eastAsia"/>
        </w:rPr>
        <w:t>发展规划编制工作的通知》（黔商发〔2025〕20号）、《省商务厅关于做好燃气经营许可（汽车加气）工作的通知（黔商发〔2025〕215号）》要求执行，不单独批复独立加气站，不占用加油站新增指标。</w:t>
      </w:r>
    </w:p>
    <w:p>
      <w:pPr>
        <w:ind w:firstLine="640"/>
      </w:pPr>
      <w:r>
        <w:rPr>
          <w:rFonts w:hint="eastAsia"/>
        </w:rPr>
        <w:t>（2）按照《省商务厅关于做好燃气经营许可（汽车加气）工作的通知》（黔商发〔2025〕215号）要求执行，汽车加气站项目应当遵循公开、公平、公正的原则，并及时对社会公示、公告。企业申请的汽车加气站应符合相关技术规范要求。汽车加气站应当在现有加油站增加汽车燃气加气功能，确保汽车加气站有序发展，推动安全风险集中化管控。</w:t>
      </w:r>
    </w:p>
    <w:p>
      <w:pPr>
        <w:ind w:firstLine="640"/>
      </w:pPr>
      <w:r>
        <w:rPr>
          <w:rFonts w:hint="eastAsia"/>
        </w:rPr>
        <w:t>（3）现有合规加油站按需增设加氢业态，或规划新建站点同步配置加氢功能的，均须纳入本次规划加氢站指标统计；单独立项、单独选址新建的独立加氢站，不纳入加油站规划指标体系，其加氢指标实行单独核定、单独管理。凡新增车用加氢功能的站点，不因建设形式不同而豁免占用加氢站指标。</w:t>
      </w:r>
    </w:p>
    <w:p>
      <w:pPr>
        <w:ind w:firstLine="640"/>
      </w:pPr>
      <w:r>
        <w:rPr>
          <w:rFonts w:hint="eastAsia"/>
        </w:rPr>
        <w:t>（4）支持现有加油站增设加氢、加气、充电、汽服功能，打造综合能源服务站，强化能源供应转型。同时为确保成品油规划的严肃性，对于原有和新建的加氢、加气站，本规划期内不再审批增设加油功能，确需增加的，需纳入本规划的中期规划后方可调整。</w:t>
      </w:r>
    </w:p>
    <w:p>
      <w:pPr>
        <w:pStyle w:val="3"/>
        <w:ind w:firstLine="640"/>
      </w:pPr>
      <w:bookmarkStart w:id="120" w:name="_Toc237424189"/>
      <w:bookmarkStart w:id="121" w:name="_Toc30288"/>
      <w:bookmarkStart w:id="122" w:name="_Toc228174654"/>
      <w:bookmarkStart w:id="123" w:name="_Toc31029"/>
      <w:bookmarkStart w:id="124" w:name="_Toc751"/>
      <w:r>
        <w:rPr>
          <w:rFonts w:hint="eastAsia"/>
        </w:rPr>
        <w:t>（五）网点布局</w:t>
      </w:r>
      <w:bookmarkEnd w:id="120"/>
      <w:bookmarkEnd w:id="121"/>
      <w:bookmarkEnd w:id="122"/>
      <w:bookmarkEnd w:id="123"/>
      <w:bookmarkEnd w:id="124"/>
    </w:p>
    <w:p>
      <w:pPr>
        <w:ind w:firstLine="640"/>
      </w:pPr>
      <w:r>
        <w:rPr>
          <w:rFonts w:hint="eastAsia"/>
        </w:rPr>
        <w:t>本次补能站点实行分区市属地管控、分时段梯度落地、分业态错峰配套的一体化合规布局，锚定核定经纬度合规点位闭环落位管控，严格划分近期（2026—2030年）攻坚建设期、远期（2031—2035年）提质优化期两大时序阶段，同步按水城区、钟山区、六枝特区、盘州市四大行政片区差异化精准布点。规划期内，各区（市、县）指标独立管理、不得跨县域调剂。</w:t>
      </w:r>
    </w:p>
    <w:p>
      <w:pPr>
        <w:ind w:firstLine="643"/>
      </w:pPr>
      <w:r>
        <w:rPr>
          <w:rFonts w:hint="eastAsia"/>
          <w:b/>
          <w:bCs/>
        </w:rPr>
        <w:t>近期（2026—2030年）</w:t>
      </w:r>
      <w:r>
        <w:rPr>
          <w:rFonts w:hint="eastAsia"/>
        </w:rPr>
        <w:t>，合规标准化新建加油站共计</w:t>
      </w:r>
      <w:r>
        <w:rPr>
          <w:rFonts w:hint="eastAsia"/>
          <w:lang w:val="en-US" w:eastAsia="zh-CN"/>
        </w:rPr>
        <w:t>29</w:t>
      </w:r>
      <w:r>
        <w:rPr>
          <w:rFonts w:hint="eastAsia"/>
        </w:rPr>
        <w:t>座，按市域普通网点分类落地：水城区11座、钟山区</w:t>
      </w:r>
      <w:r>
        <w:rPr>
          <w:rFonts w:hint="eastAsia"/>
          <w:lang w:val="en-US" w:eastAsia="zh-CN"/>
        </w:rPr>
        <w:t>4</w:t>
      </w:r>
      <w:r>
        <w:rPr>
          <w:rFonts w:hint="eastAsia"/>
        </w:rPr>
        <w:t>座、六枝特区8座、盘州市5座、高新区1座；其中高速公路网点新建6座（盘州市2座、水城区4座），补齐国省干线、高速服务区、乡镇主干道路成品油保供空白点位，缩小农村地区供油服务半径，推进城乡供油服务均等化。规划布局加气、加氢站37座，其中六枝特区6座、盘州市14座、水城区11座、钟山区4座、高新区2座。规划布局充电站点163座，均依托辖区内合规存量加油加气站扩容增设、一体化配套布设，就近衔接城乡通勤、物流货运补能刚需。在规划实施过程中，若因新建道路、城市新开发区域需要调整的，可通过编制中期规划进行调整，中期规划仍需取得地市级政府以及省商务厅的批准后方可实施。</w:t>
      </w:r>
    </w:p>
    <w:p>
      <w:pPr>
        <w:ind w:firstLine="643"/>
      </w:pPr>
      <w:r>
        <w:rPr>
          <w:rFonts w:hint="eastAsia"/>
          <w:b/>
          <w:bCs/>
        </w:rPr>
        <w:t>远期（2031—2035年）</w:t>
      </w:r>
      <w:r>
        <w:rPr>
          <w:rFonts w:hint="eastAsia"/>
        </w:rPr>
        <w:t>，延续属地分区差异化布局逻辑，结合片区城市拓展、路网提档、氢能运力规模化增长实际工况，按需统筹布局6座补充配套加油站点、6座规模化加氢配套站点及42组充电站点；不强制拆分能源配套业态，加氢站点优先依托合规在用加油加气站点提质改扩建、增补全套加氢专用功能设备，可结合片区氢能产业集中片区、重点物流廊道、干线交通枢纽区位条件，合规选址单独新建专业化独立加氢场站，补强区域氢能专项补给骨干点位；充电设施依托各类合规加油加气运营站点常态化配套增设。</w:t>
      </w:r>
    </w:p>
    <w:p>
      <w:pPr>
        <w:pStyle w:val="28"/>
      </w:pPr>
      <w:r>
        <w:rPr>
          <w:rFonts w:hint="eastAsia"/>
        </w:rPr>
        <w:t>网点布局</w:t>
      </w:r>
    </w:p>
    <w:tbl>
      <w:tblPr>
        <w:tblStyle w:val="21"/>
        <w:tblW w:w="49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969"/>
        <w:gridCol w:w="1775"/>
        <w:gridCol w:w="1035"/>
        <w:gridCol w:w="1030"/>
        <w:gridCol w:w="1953"/>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80" w:lineRule="exact"/>
              <w:ind w:firstLine="0" w:firstLineChars="0"/>
              <w:jc w:val="center"/>
              <w:textAlignment w:val="center"/>
              <w:rPr>
                <w:rFonts w:hint="eastAsia" w:cs="仿宋_GB2312"/>
                <w:b/>
                <w:bCs/>
                <w:kern w:val="0"/>
                <w:sz w:val="24"/>
                <w:szCs w:val="24"/>
                <w:lang w:bidi="ar"/>
              </w:rPr>
            </w:pPr>
          </w:p>
        </w:tc>
        <w:tc>
          <w:tcPr>
            <w:tcW w:w="2088" w:type="pct"/>
            <w:gridSpan w:val="3"/>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近期（2026—2030年）</w:t>
            </w:r>
          </w:p>
        </w:tc>
        <w:tc>
          <w:tcPr>
            <w:tcW w:w="2194" w:type="pct"/>
            <w:gridSpan w:val="3"/>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远期（2031—2035年）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sz w:val="24"/>
                <w:szCs w:val="24"/>
              </w:rPr>
              <w:t>区域</w:t>
            </w:r>
          </w:p>
        </w:tc>
        <w:tc>
          <w:tcPr>
            <w:tcW w:w="535" w:type="pct"/>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加油站</w:t>
            </w:r>
          </w:p>
        </w:tc>
        <w:tc>
          <w:tcPr>
            <w:tcW w:w="981" w:type="pct"/>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加气、加氢站</w:t>
            </w:r>
          </w:p>
        </w:tc>
        <w:tc>
          <w:tcPr>
            <w:tcW w:w="572" w:type="pct"/>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充电站</w:t>
            </w:r>
          </w:p>
        </w:tc>
        <w:tc>
          <w:tcPr>
            <w:tcW w:w="569" w:type="pct"/>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加油站</w:t>
            </w:r>
          </w:p>
        </w:tc>
        <w:tc>
          <w:tcPr>
            <w:tcW w:w="1080" w:type="pct"/>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加气站、加氢站</w:t>
            </w:r>
          </w:p>
        </w:tc>
        <w:tc>
          <w:tcPr>
            <w:tcW w:w="545" w:type="pct"/>
            <w:vAlign w:val="center"/>
          </w:tcPr>
          <w:p>
            <w:pPr>
              <w:widowControl/>
              <w:spacing w:line="480" w:lineRule="exact"/>
              <w:ind w:firstLine="0" w:firstLineChars="0"/>
              <w:jc w:val="center"/>
              <w:textAlignment w:val="center"/>
              <w:rPr>
                <w:rFonts w:hint="eastAsia" w:cs="仿宋_GB2312"/>
                <w:b/>
                <w:bCs/>
                <w:sz w:val="24"/>
                <w:szCs w:val="24"/>
              </w:rPr>
            </w:pPr>
            <w:r>
              <w:rPr>
                <w:rFonts w:hint="eastAsia" w:cs="仿宋_GB2312"/>
                <w:b/>
                <w:bCs/>
                <w:kern w:val="0"/>
                <w:sz w:val="24"/>
                <w:szCs w:val="24"/>
                <w:lang w:bidi="ar"/>
              </w:rPr>
              <w:t>充电站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80" w:lineRule="exact"/>
              <w:ind w:firstLine="0" w:firstLineChars="0"/>
              <w:jc w:val="center"/>
              <w:textAlignment w:val="center"/>
              <w:rPr>
                <w:rFonts w:hint="eastAsia" w:cs="仿宋_GB2312"/>
                <w:sz w:val="24"/>
                <w:szCs w:val="24"/>
              </w:rPr>
            </w:pPr>
            <w:r>
              <w:rPr>
                <w:rFonts w:hint="eastAsia" w:cs="仿宋_GB2312"/>
                <w:kern w:val="0"/>
                <w:sz w:val="24"/>
                <w:szCs w:val="24"/>
                <w:lang w:bidi="ar"/>
              </w:rPr>
              <w:t>六枝特区</w:t>
            </w:r>
          </w:p>
        </w:tc>
        <w:tc>
          <w:tcPr>
            <w:tcW w:w="535"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8</w:t>
            </w:r>
          </w:p>
        </w:tc>
        <w:tc>
          <w:tcPr>
            <w:tcW w:w="981" w:type="pct"/>
            <w:vAlign w:val="center"/>
          </w:tcPr>
          <w:p>
            <w:pPr>
              <w:widowControl/>
              <w:spacing w:line="480" w:lineRule="exact"/>
              <w:ind w:firstLine="0" w:firstLineChars="0"/>
              <w:jc w:val="center"/>
              <w:rPr>
                <w:rFonts w:hint="eastAsia" w:cs="仿宋_GB2312"/>
                <w:sz w:val="24"/>
                <w:szCs w:val="24"/>
                <w:lang w:bidi="ar"/>
              </w:rPr>
            </w:pPr>
            <w:r>
              <w:rPr>
                <w:rFonts w:hint="eastAsia" w:cs="仿宋_GB2312"/>
                <w:sz w:val="24"/>
                <w:szCs w:val="24"/>
                <w:lang w:bidi="ar"/>
              </w:rPr>
              <w:t>6</w:t>
            </w:r>
          </w:p>
        </w:tc>
        <w:tc>
          <w:tcPr>
            <w:tcW w:w="572"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69"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1080"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45"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80" w:lineRule="exact"/>
              <w:ind w:firstLine="0" w:firstLineChars="0"/>
              <w:jc w:val="center"/>
              <w:textAlignment w:val="center"/>
              <w:rPr>
                <w:rFonts w:hint="eastAsia" w:cs="仿宋_GB2312"/>
                <w:sz w:val="24"/>
                <w:szCs w:val="24"/>
              </w:rPr>
            </w:pPr>
            <w:r>
              <w:rPr>
                <w:rFonts w:hint="eastAsia" w:cs="仿宋_GB2312"/>
                <w:kern w:val="0"/>
                <w:sz w:val="24"/>
                <w:szCs w:val="24"/>
                <w:lang w:bidi="ar"/>
              </w:rPr>
              <w:t>盘州市</w:t>
            </w:r>
          </w:p>
        </w:tc>
        <w:tc>
          <w:tcPr>
            <w:tcW w:w="535"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5</w:t>
            </w:r>
          </w:p>
        </w:tc>
        <w:tc>
          <w:tcPr>
            <w:tcW w:w="981" w:type="pct"/>
            <w:vAlign w:val="center"/>
          </w:tcPr>
          <w:p>
            <w:pPr>
              <w:widowControl/>
              <w:spacing w:line="480" w:lineRule="exact"/>
              <w:ind w:firstLine="0" w:firstLineChars="0"/>
              <w:jc w:val="center"/>
              <w:rPr>
                <w:rFonts w:hint="eastAsia" w:cs="仿宋_GB2312"/>
                <w:sz w:val="24"/>
                <w:szCs w:val="24"/>
                <w:lang w:bidi="ar"/>
              </w:rPr>
            </w:pPr>
            <w:r>
              <w:rPr>
                <w:rFonts w:hint="eastAsia" w:cs="仿宋_GB2312"/>
                <w:sz w:val="24"/>
                <w:szCs w:val="24"/>
                <w:lang w:bidi="ar"/>
              </w:rPr>
              <w:t>14</w:t>
            </w:r>
          </w:p>
        </w:tc>
        <w:tc>
          <w:tcPr>
            <w:tcW w:w="572"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69"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1080"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45"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80" w:lineRule="exact"/>
              <w:ind w:firstLine="0" w:firstLineChars="0"/>
              <w:jc w:val="center"/>
              <w:textAlignment w:val="center"/>
              <w:rPr>
                <w:rFonts w:hint="eastAsia" w:cs="仿宋_GB2312"/>
                <w:sz w:val="24"/>
                <w:szCs w:val="24"/>
              </w:rPr>
            </w:pPr>
            <w:r>
              <w:rPr>
                <w:rFonts w:hint="eastAsia" w:cs="仿宋_GB2312"/>
                <w:kern w:val="0"/>
                <w:sz w:val="24"/>
                <w:szCs w:val="24"/>
                <w:lang w:bidi="ar"/>
              </w:rPr>
              <w:t>水城区</w:t>
            </w:r>
          </w:p>
        </w:tc>
        <w:tc>
          <w:tcPr>
            <w:tcW w:w="535"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11</w:t>
            </w:r>
          </w:p>
        </w:tc>
        <w:tc>
          <w:tcPr>
            <w:tcW w:w="981" w:type="pct"/>
            <w:vAlign w:val="center"/>
          </w:tcPr>
          <w:p>
            <w:pPr>
              <w:widowControl/>
              <w:spacing w:line="480" w:lineRule="exact"/>
              <w:ind w:firstLine="0" w:firstLineChars="0"/>
              <w:jc w:val="center"/>
              <w:rPr>
                <w:rFonts w:hint="eastAsia" w:cs="仿宋_GB2312"/>
                <w:sz w:val="24"/>
                <w:szCs w:val="24"/>
                <w:lang w:bidi="ar"/>
              </w:rPr>
            </w:pPr>
            <w:r>
              <w:rPr>
                <w:rFonts w:hint="eastAsia" w:cs="仿宋_GB2312"/>
                <w:sz w:val="24"/>
                <w:szCs w:val="24"/>
                <w:lang w:bidi="ar"/>
              </w:rPr>
              <w:t>11</w:t>
            </w:r>
          </w:p>
        </w:tc>
        <w:tc>
          <w:tcPr>
            <w:tcW w:w="572"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69"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1080"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45"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80" w:lineRule="exact"/>
              <w:ind w:firstLine="0" w:firstLineChars="0"/>
              <w:jc w:val="center"/>
              <w:textAlignment w:val="center"/>
              <w:rPr>
                <w:rFonts w:hint="eastAsia" w:cs="仿宋_GB2312"/>
                <w:sz w:val="24"/>
                <w:szCs w:val="24"/>
              </w:rPr>
            </w:pPr>
            <w:r>
              <w:rPr>
                <w:rFonts w:hint="eastAsia" w:cs="仿宋_GB2312"/>
                <w:kern w:val="0"/>
                <w:sz w:val="24"/>
                <w:szCs w:val="24"/>
                <w:lang w:bidi="ar"/>
              </w:rPr>
              <w:t>钟山区</w:t>
            </w:r>
          </w:p>
        </w:tc>
        <w:tc>
          <w:tcPr>
            <w:tcW w:w="535" w:type="pct"/>
            <w:vAlign w:val="center"/>
          </w:tcPr>
          <w:p>
            <w:pPr>
              <w:widowControl/>
              <w:spacing w:line="480" w:lineRule="exact"/>
              <w:ind w:firstLine="0" w:firstLineChars="0"/>
              <w:jc w:val="center"/>
              <w:rPr>
                <w:rFonts w:hint="eastAsia" w:eastAsia="仿宋_GB2312" w:cs="仿宋_GB2312"/>
                <w:sz w:val="24"/>
                <w:szCs w:val="24"/>
                <w:lang w:eastAsia="zh-CN"/>
              </w:rPr>
            </w:pPr>
            <w:r>
              <w:rPr>
                <w:rFonts w:hint="eastAsia" w:cs="仿宋_GB2312"/>
                <w:sz w:val="24"/>
                <w:szCs w:val="24"/>
                <w:lang w:val="en-US" w:eastAsia="zh-CN"/>
              </w:rPr>
              <w:t>4</w:t>
            </w:r>
          </w:p>
        </w:tc>
        <w:tc>
          <w:tcPr>
            <w:tcW w:w="981" w:type="pct"/>
            <w:vAlign w:val="center"/>
          </w:tcPr>
          <w:p>
            <w:pPr>
              <w:widowControl/>
              <w:spacing w:line="480" w:lineRule="exact"/>
              <w:ind w:firstLine="0" w:firstLineChars="0"/>
              <w:jc w:val="center"/>
              <w:rPr>
                <w:rFonts w:hint="eastAsia" w:cs="仿宋_GB2312"/>
                <w:sz w:val="24"/>
                <w:szCs w:val="24"/>
                <w:lang w:bidi="ar"/>
              </w:rPr>
            </w:pPr>
            <w:r>
              <w:rPr>
                <w:rFonts w:hint="eastAsia" w:cs="仿宋_GB2312"/>
                <w:sz w:val="24"/>
                <w:szCs w:val="24"/>
                <w:lang w:bidi="ar"/>
              </w:rPr>
              <w:t>4</w:t>
            </w:r>
          </w:p>
        </w:tc>
        <w:tc>
          <w:tcPr>
            <w:tcW w:w="572"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69"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1080"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45"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80" w:lineRule="exact"/>
              <w:ind w:firstLine="0" w:firstLineChars="0"/>
              <w:jc w:val="center"/>
              <w:textAlignment w:val="center"/>
              <w:rPr>
                <w:rFonts w:hint="eastAsia" w:cs="仿宋_GB2312"/>
                <w:kern w:val="0"/>
                <w:sz w:val="24"/>
                <w:szCs w:val="24"/>
                <w:lang w:bidi="ar"/>
              </w:rPr>
            </w:pPr>
            <w:r>
              <w:rPr>
                <w:rFonts w:hint="eastAsia" w:cs="仿宋_GB2312"/>
                <w:kern w:val="0"/>
                <w:sz w:val="24"/>
                <w:szCs w:val="24"/>
                <w:lang w:bidi="ar"/>
              </w:rPr>
              <w:t>高新区</w:t>
            </w:r>
          </w:p>
        </w:tc>
        <w:tc>
          <w:tcPr>
            <w:tcW w:w="535"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1</w:t>
            </w:r>
          </w:p>
        </w:tc>
        <w:tc>
          <w:tcPr>
            <w:tcW w:w="981" w:type="pct"/>
            <w:vAlign w:val="center"/>
          </w:tcPr>
          <w:p>
            <w:pPr>
              <w:widowControl/>
              <w:spacing w:line="480" w:lineRule="exact"/>
              <w:ind w:firstLine="0" w:firstLineChars="0"/>
              <w:jc w:val="center"/>
              <w:rPr>
                <w:rFonts w:hint="eastAsia" w:cs="仿宋_GB2312"/>
                <w:sz w:val="24"/>
                <w:szCs w:val="24"/>
                <w:lang w:bidi="ar"/>
              </w:rPr>
            </w:pPr>
            <w:r>
              <w:rPr>
                <w:rFonts w:hint="eastAsia" w:cs="仿宋_GB2312"/>
                <w:sz w:val="24"/>
                <w:szCs w:val="24"/>
                <w:lang w:bidi="ar"/>
              </w:rPr>
              <w:t>2</w:t>
            </w:r>
          </w:p>
        </w:tc>
        <w:tc>
          <w:tcPr>
            <w:tcW w:w="572" w:type="pct"/>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69"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1080"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c>
          <w:tcPr>
            <w:tcW w:w="545" w:type="pct"/>
            <w:noWrap/>
            <w:vAlign w:val="center"/>
          </w:tcPr>
          <w:p>
            <w:pPr>
              <w:widowControl/>
              <w:spacing w:line="480" w:lineRule="exact"/>
              <w:ind w:firstLine="0" w:firstLineChars="0"/>
              <w:jc w:val="center"/>
              <w:rPr>
                <w:rFonts w:hint="eastAsia" w:cs="仿宋_GB2312"/>
                <w:sz w:val="24"/>
                <w:szCs w:val="24"/>
              </w:rPr>
            </w:pPr>
            <w:r>
              <w:rPr>
                <w:rFonts w:hint="eastAsia"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16" w:type="pct"/>
            <w:vAlign w:val="center"/>
          </w:tcPr>
          <w:p>
            <w:pPr>
              <w:widowControl/>
              <w:spacing w:line="400" w:lineRule="exact"/>
              <w:ind w:firstLine="0" w:firstLineChars="0"/>
              <w:jc w:val="center"/>
              <w:rPr>
                <w:rFonts w:hint="eastAsia" w:cs="仿宋_GB2312"/>
                <w:b/>
                <w:bCs/>
                <w:kern w:val="0"/>
                <w:sz w:val="24"/>
                <w:szCs w:val="24"/>
                <w:lang w:bidi="ar"/>
              </w:rPr>
            </w:pPr>
            <w:r>
              <w:rPr>
                <w:rFonts w:hint="eastAsia" w:cs="仿宋_GB2312"/>
                <w:b/>
                <w:bCs/>
                <w:kern w:val="0"/>
                <w:sz w:val="24"/>
                <w:szCs w:val="24"/>
                <w:lang w:bidi="ar"/>
              </w:rPr>
              <w:t>合计（座）</w:t>
            </w:r>
          </w:p>
        </w:tc>
        <w:tc>
          <w:tcPr>
            <w:tcW w:w="535" w:type="pct"/>
            <w:vAlign w:val="center"/>
          </w:tcPr>
          <w:p>
            <w:pPr>
              <w:widowControl/>
              <w:spacing w:line="480" w:lineRule="exact"/>
              <w:ind w:firstLine="0" w:firstLineChars="0"/>
              <w:jc w:val="center"/>
              <w:rPr>
                <w:rFonts w:hint="default" w:eastAsia="仿宋_GB2312" w:cs="仿宋_GB2312"/>
                <w:b/>
                <w:bCs/>
                <w:sz w:val="24"/>
                <w:szCs w:val="24"/>
                <w:lang w:val="en-US" w:eastAsia="zh-CN"/>
              </w:rPr>
            </w:pPr>
            <w:r>
              <w:rPr>
                <w:rFonts w:hint="eastAsia" w:cs="仿宋_GB2312"/>
                <w:b/>
                <w:bCs/>
                <w:sz w:val="24"/>
                <w:szCs w:val="24"/>
                <w:lang w:val="en-US" w:eastAsia="zh-CN"/>
              </w:rPr>
              <w:t>29</w:t>
            </w:r>
          </w:p>
        </w:tc>
        <w:tc>
          <w:tcPr>
            <w:tcW w:w="981" w:type="pct"/>
            <w:vAlign w:val="center"/>
          </w:tcPr>
          <w:p>
            <w:pPr>
              <w:widowControl/>
              <w:spacing w:line="480" w:lineRule="exact"/>
              <w:ind w:firstLine="0" w:firstLineChars="0"/>
              <w:jc w:val="center"/>
              <w:rPr>
                <w:rFonts w:hint="eastAsia" w:cs="仿宋_GB2312"/>
                <w:b/>
                <w:bCs/>
                <w:sz w:val="24"/>
                <w:szCs w:val="24"/>
              </w:rPr>
            </w:pPr>
            <w:r>
              <w:rPr>
                <w:rFonts w:hint="eastAsia" w:cs="仿宋_GB2312"/>
                <w:b/>
                <w:bCs/>
                <w:sz w:val="24"/>
                <w:szCs w:val="24"/>
              </w:rPr>
              <w:t>37</w:t>
            </w:r>
          </w:p>
        </w:tc>
        <w:tc>
          <w:tcPr>
            <w:tcW w:w="572" w:type="pct"/>
            <w:noWrap/>
            <w:vAlign w:val="center"/>
          </w:tcPr>
          <w:p>
            <w:pPr>
              <w:widowControl/>
              <w:spacing w:line="480" w:lineRule="exact"/>
              <w:ind w:firstLine="0" w:firstLineChars="0"/>
              <w:jc w:val="center"/>
              <w:rPr>
                <w:rFonts w:hint="eastAsia" w:cs="仿宋_GB2312"/>
                <w:b/>
                <w:bCs/>
                <w:sz w:val="24"/>
                <w:szCs w:val="24"/>
              </w:rPr>
            </w:pPr>
            <w:r>
              <w:rPr>
                <w:rFonts w:hint="eastAsia" w:cs="仿宋_GB2312"/>
                <w:b/>
                <w:bCs/>
                <w:sz w:val="24"/>
                <w:szCs w:val="24"/>
              </w:rPr>
              <w:t>163</w:t>
            </w:r>
          </w:p>
        </w:tc>
        <w:tc>
          <w:tcPr>
            <w:tcW w:w="569" w:type="pct"/>
            <w:noWrap/>
            <w:vAlign w:val="center"/>
          </w:tcPr>
          <w:p>
            <w:pPr>
              <w:widowControl/>
              <w:spacing w:line="480" w:lineRule="exact"/>
              <w:ind w:firstLine="0" w:firstLineChars="0"/>
              <w:jc w:val="center"/>
              <w:rPr>
                <w:rFonts w:hint="eastAsia" w:cs="仿宋_GB2312"/>
                <w:b/>
                <w:bCs/>
                <w:sz w:val="24"/>
                <w:szCs w:val="24"/>
              </w:rPr>
            </w:pPr>
            <w:r>
              <w:rPr>
                <w:rFonts w:hint="eastAsia" w:cs="仿宋_GB2312"/>
                <w:b/>
                <w:bCs/>
                <w:sz w:val="24"/>
                <w:szCs w:val="24"/>
              </w:rPr>
              <w:t>6</w:t>
            </w:r>
          </w:p>
        </w:tc>
        <w:tc>
          <w:tcPr>
            <w:tcW w:w="1080" w:type="pct"/>
            <w:noWrap/>
            <w:vAlign w:val="center"/>
          </w:tcPr>
          <w:p>
            <w:pPr>
              <w:widowControl/>
              <w:spacing w:line="480" w:lineRule="exact"/>
              <w:ind w:firstLine="0" w:firstLineChars="0"/>
              <w:jc w:val="center"/>
              <w:rPr>
                <w:rFonts w:hint="eastAsia" w:cs="仿宋_GB2312"/>
                <w:b/>
                <w:bCs/>
                <w:sz w:val="24"/>
                <w:szCs w:val="24"/>
              </w:rPr>
            </w:pPr>
            <w:r>
              <w:rPr>
                <w:rFonts w:hint="eastAsia" w:cs="仿宋_GB2312"/>
                <w:b/>
                <w:bCs/>
                <w:sz w:val="24"/>
                <w:szCs w:val="24"/>
              </w:rPr>
              <w:t>14</w:t>
            </w:r>
          </w:p>
        </w:tc>
        <w:tc>
          <w:tcPr>
            <w:tcW w:w="545" w:type="pct"/>
            <w:noWrap/>
            <w:vAlign w:val="center"/>
          </w:tcPr>
          <w:p>
            <w:pPr>
              <w:widowControl/>
              <w:spacing w:line="480" w:lineRule="exact"/>
              <w:ind w:firstLine="0" w:firstLineChars="0"/>
              <w:jc w:val="center"/>
              <w:rPr>
                <w:rFonts w:hint="eastAsia" w:cs="仿宋_GB2312"/>
                <w:b/>
                <w:bCs/>
                <w:sz w:val="24"/>
                <w:szCs w:val="24"/>
              </w:rPr>
            </w:pPr>
            <w:r>
              <w:rPr>
                <w:rFonts w:hint="eastAsia" w:cs="仿宋_GB2312"/>
                <w:b/>
                <w:bCs/>
                <w:sz w:val="24"/>
                <w:szCs w:val="24"/>
              </w:rPr>
              <w:t>42</w:t>
            </w:r>
          </w:p>
        </w:tc>
      </w:tr>
    </w:tbl>
    <w:p>
      <w:pPr>
        <w:pStyle w:val="2"/>
      </w:pPr>
      <w:bookmarkStart w:id="125" w:name="_Toc237424190"/>
      <w:bookmarkStart w:id="126" w:name="_Toc23055"/>
      <w:bookmarkStart w:id="127" w:name="_Toc9978"/>
      <w:bookmarkStart w:id="128" w:name="_Toc3219"/>
      <w:bookmarkStart w:id="129" w:name="_Toc228174656"/>
      <w:r>
        <w:rPr>
          <w:rFonts w:hint="eastAsia"/>
        </w:rPr>
        <w:t>五、重点任务</w:t>
      </w:r>
      <w:bookmarkEnd w:id="125"/>
      <w:bookmarkEnd w:id="126"/>
      <w:bookmarkEnd w:id="127"/>
      <w:bookmarkEnd w:id="128"/>
      <w:bookmarkEnd w:id="129"/>
    </w:p>
    <w:p>
      <w:pPr>
        <w:ind w:firstLine="640"/>
      </w:pPr>
      <w:r>
        <w:rPr>
          <w:rFonts w:hint="eastAsia"/>
        </w:rPr>
        <w:t>聚焦提升能源安全保障能力、拓展站点综合服务功能、加快数字化智能化转型和筑牢绿色安全发展底线，着力构建与全市经济社会发展相适应的现代化综合能源零售服务体系。</w:t>
      </w:r>
    </w:p>
    <w:p>
      <w:pPr>
        <w:pStyle w:val="3"/>
      </w:pPr>
      <w:bookmarkStart w:id="130" w:name="_Toc16514"/>
      <w:bookmarkStart w:id="131" w:name="_Toc237424191"/>
      <w:bookmarkStart w:id="132" w:name="_Toc228174657"/>
      <w:bookmarkStart w:id="133" w:name="_Toc1542"/>
      <w:bookmarkStart w:id="134" w:name="_Toc15576"/>
      <w:r>
        <w:rPr>
          <w:rFonts w:hint="eastAsia"/>
        </w:rPr>
        <w:t>（一）油品</w:t>
      </w:r>
      <w:r>
        <w:rPr>
          <w:rFonts w:hint="eastAsia" w:asciiTheme="majorHAnsi" w:hAnsiTheme="majorHAnsi"/>
        </w:rPr>
        <w:t>储备</w:t>
      </w:r>
      <w:r>
        <w:rPr>
          <w:rFonts w:hint="eastAsia"/>
        </w:rPr>
        <w:t>库建设</w:t>
      </w:r>
      <w:bookmarkEnd w:id="130"/>
      <w:bookmarkEnd w:id="131"/>
      <w:bookmarkEnd w:id="132"/>
      <w:bookmarkEnd w:id="133"/>
      <w:bookmarkEnd w:id="134"/>
    </w:p>
    <w:p>
      <w:pPr>
        <w:ind w:firstLine="643"/>
      </w:pPr>
      <w:r>
        <w:rPr>
          <w:rFonts w:hint="eastAsia"/>
          <w:b/>
          <w:bCs/>
        </w:rPr>
        <w:t>优化既有油库效能。</w:t>
      </w:r>
      <w:r>
        <w:rPr>
          <w:rFonts w:hint="eastAsia"/>
        </w:rPr>
        <w:t>鼓励骨干企业对现有仓储设施进行智能化、自动化升级改造，提升油品周转效率和安全运营水平。引导车用燃料零售企业加强库存管理，确保在资源紧张、自然灾害等特殊时期，全市成品油库存不低于15天的市场需求量，夯实应急保供基础。</w:t>
      </w:r>
    </w:p>
    <w:p>
      <w:pPr>
        <w:ind w:firstLine="643"/>
      </w:pPr>
      <w:r>
        <w:rPr>
          <w:rFonts w:hint="eastAsia"/>
          <w:b/>
          <w:bCs/>
        </w:rPr>
        <w:t>推进多能融合储备。</w:t>
      </w:r>
      <w:r>
        <w:rPr>
          <w:rFonts w:hint="eastAsia"/>
        </w:rPr>
        <w:t>结合氢能产业发展规划，鼓励在具备条件的工业园区或交通枢纽，探索建设油、气、氢、电综合能源储配基地。支持利用现有油库用地或设施，在确保安全的前提下，预留或增设氢气储罐、天然气储罐等基础设施，为未来能源供应多元化奠定基础。</w:t>
      </w:r>
    </w:p>
    <w:p>
      <w:pPr>
        <w:ind w:firstLine="640"/>
      </w:pPr>
      <w:r>
        <w:rPr>
          <w:rFonts w:hint="eastAsia"/>
        </w:rPr>
        <w:t>全市现有在用油库2座，库容量4.65万立方，日均周转量约4000吨，因库容过剩关闭闲置油库6座，结合现有油库情况，本规划期内不再新增油库规划。</w:t>
      </w:r>
    </w:p>
    <w:p>
      <w:pPr>
        <w:pStyle w:val="3"/>
      </w:pPr>
      <w:bookmarkStart w:id="135" w:name="_Toc237424192"/>
      <w:bookmarkStart w:id="136" w:name="_Toc17544"/>
      <w:bookmarkStart w:id="137" w:name="_Toc6545"/>
      <w:bookmarkStart w:id="138" w:name="_Toc228174658"/>
      <w:bookmarkStart w:id="139" w:name="_Toc13514"/>
      <w:r>
        <w:rPr>
          <w:rFonts w:hint="eastAsia"/>
        </w:rPr>
        <w:t>（二）非油品经营服务拓展</w:t>
      </w:r>
      <w:bookmarkEnd w:id="135"/>
      <w:bookmarkEnd w:id="136"/>
      <w:bookmarkEnd w:id="137"/>
      <w:bookmarkEnd w:id="138"/>
      <w:bookmarkEnd w:id="139"/>
    </w:p>
    <w:p>
      <w:pPr>
        <w:ind w:firstLine="643"/>
      </w:pPr>
      <w:r>
        <w:rPr>
          <w:rFonts w:hint="eastAsia"/>
          <w:b/>
          <w:bCs/>
        </w:rPr>
        <w:t>丰富站内商业业态。</w:t>
      </w:r>
      <w:r>
        <w:rPr>
          <w:rFonts w:hint="eastAsia"/>
        </w:rPr>
        <w:t>支持中心城区、国省干道和旅游公路沿线的能源补给站点，因地制宜拓展便利店、特色餐饮、咖啡茶饮等业务。鼓励引入</w:t>
      </w:r>
      <w:r>
        <w:rPr>
          <w:rFonts w:hint="eastAsia"/>
          <w:lang w:eastAsia="zh-CN"/>
        </w:rPr>
        <w:t>“</w:t>
      </w:r>
      <w:r>
        <w:rPr>
          <w:rFonts w:hint="eastAsia"/>
        </w:rPr>
        <w:t>易捷</w:t>
      </w:r>
      <w:r>
        <w:rPr>
          <w:rFonts w:hint="eastAsia"/>
          <w:lang w:eastAsia="zh-CN"/>
        </w:rPr>
        <w:t>”</w:t>
      </w:r>
      <w:r>
        <w:rPr>
          <w:rFonts w:hint="eastAsia"/>
        </w:rPr>
        <w:t>等知名连锁品牌，提升商品与服务品质。支持有条件的站点设置</w:t>
      </w:r>
      <w:r>
        <w:rPr>
          <w:rFonts w:hint="eastAsia"/>
          <w:lang w:eastAsia="zh-CN"/>
        </w:rPr>
        <w:t>“</w:t>
      </w:r>
      <w:r>
        <w:rPr>
          <w:rFonts w:hint="eastAsia"/>
        </w:rPr>
        <w:t>凉都三宝</w:t>
      </w:r>
      <w:r>
        <w:rPr>
          <w:rFonts w:hint="eastAsia"/>
          <w:lang w:eastAsia="zh-CN"/>
        </w:rPr>
        <w:t>”</w:t>
      </w:r>
      <w:r>
        <w:rPr>
          <w:rFonts w:hint="eastAsia"/>
        </w:rPr>
        <w:t>等六盘水特色农产品展销区，打造展示地方形象、带动农产品上行的新窗口。</w:t>
      </w:r>
    </w:p>
    <w:p>
      <w:pPr>
        <w:ind w:firstLine="643"/>
      </w:pPr>
      <w:r>
        <w:rPr>
          <w:rFonts w:hint="eastAsia"/>
          <w:b/>
          <w:bCs/>
        </w:rPr>
        <w:t>完善汽车后市场服务。</w:t>
      </w:r>
      <w:r>
        <w:rPr>
          <w:rFonts w:hint="eastAsia"/>
        </w:rPr>
        <w:t>鼓励站点与专业汽车服务机构合作，提供汽车美容、快修快保、轮胎更换等便捷服务。在物流园区、交通枢纽附近的站点，增设加水、尿素加注、司机之家等功能，打造</w:t>
      </w:r>
      <w:r>
        <w:rPr>
          <w:rFonts w:hint="eastAsia"/>
          <w:lang w:eastAsia="zh-CN"/>
        </w:rPr>
        <w:t>“</w:t>
      </w:r>
      <w:r>
        <w:rPr>
          <w:rFonts w:hint="eastAsia"/>
        </w:rPr>
        <w:t>人·车·生活</w:t>
      </w:r>
      <w:r>
        <w:rPr>
          <w:rFonts w:hint="eastAsia"/>
          <w:lang w:eastAsia="zh-CN"/>
        </w:rPr>
        <w:t>”</w:t>
      </w:r>
      <w:r>
        <w:rPr>
          <w:rFonts w:hint="eastAsia"/>
        </w:rPr>
        <w:t>生态圈，为长途货运司机提供一站式贴心服务。</w:t>
      </w:r>
    </w:p>
    <w:p>
      <w:pPr>
        <w:ind w:firstLine="643"/>
      </w:pPr>
      <w:r>
        <w:rPr>
          <w:rFonts w:hint="eastAsia"/>
          <w:b/>
          <w:bCs/>
        </w:rPr>
        <w:t>拓展旅游配套服务。</w:t>
      </w:r>
      <w:r>
        <w:rPr>
          <w:rFonts w:hint="eastAsia"/>
        </w:rPr>
        <w:t>结合全域旅游发展战略，支持通往乌蒙大草原、野玉海、梅花山等景区沿线的站点，增设旅游咨询服务台、自驾游线路推荐、景点门票代售、露营装备租赁等服务，将站点打造为旅游服务驿站，推动交通与旅游融合发展。</w:t>
      </w:r>
    </w:p>
    <w:p>
      <w:pPr>
        <w:pStyle w:val="3"/>
      </w:pPr>
      <w:bookmarkStart w:id="140" w:name="_Toc32382"/>
      <w:bookmarkStart w:id="141" w:name="_Toc13025"/>
      <w:bookmarkStart w:id="142" w:name="_Toc228174659"/>
      <w:bookmarkStart w:id="143" w:name="_Toc237424193"/>
      <w:bookmarkStart w:id="144" w:name="_Toc19681"/>
      <w:r>
        <w:rPr>
          <w:rFonts w:hint="eastAsia"/>
        </w:rPr>
        <w:t>（三）智慧</w:t>
      </w:r>
      <w:r>
        <w:rPr>
          <w:rFonts w:hint="eastAsia" w:asciiTheme="majorHAnsi" w:hAnsiTheme="majorHAnsi"/>
        </w:rPr>
        <w:t>服务</w:t>
      </w:r>
      <w:r>
        <w:rPr>
          <w:rFonts w:hint="eastAsia"/>
        </w:rPr>
        <w:t>平台建设</w:t>
      </w:r>
      <w:bookmarkEnd w:id="140"/>
      <w:bookmarkEnd w:id="141"/>
      <w:bookmarkEnd w:id="142"/>
      <w:bookmarkEnd w:id="143"/>
      <w:bookmarkEnd w:id="144"/>
    </w:p>
    <w:p>
      <w:pPr>
        <w:ind w:firstLine="643"/>
      </w:pPr>
      <w:r>
        <w:rPr>
          <w:rFonts w:hint="eastAsia"/>
          <w:b/>
          <w:bCs/>
        </w:rPr>
        <w:t>推广无感支付与会员服务。</w:t>
      </w:r>
      <w:r>
        <w:rPr>
          <w:rFonts w:hint="eastAsia"/>
        </w:rPr>
        <w:t>支持站点接入ETC支付、微信/支付宝人脸支付等多种无感支付方式，减少客户等待时间，提升消费体验。鼓励企业建设统一的线上会员服务平台，提供积分兑换、电子优惠券、充电桩查询与预约、在线开票等便捷功能，增强客户互动与品牌忠诚度。</w:t>
      </w:r>
    </w:p>
    <w:p>
      <w:pPr>
        <w:ind w:firstLine="643"/>
      </w:pPr>
      <w:r>
        <w:rPr>
          <w:rFonts w:hint="eastAsia"/>
          <w:b/>
          <w:bCs/>
        </w:rPr>
        <w:t>推进站点新工艺新设备改造。</w:t>
      </w:r>
      <w:r>
        <w:rPr>
          <w:rFonts w:hint="eastAsia"/>
        </w:rPr>
        <w:t>引导存量加油站有序实施设施更新与功能提档，推广应用绿色防腐、高效节能、智能管控等成熟新工艺；因地制宜配套布设光伏发电、储能、自助服务等新型装备，完善经营服务配套设施，全面提升站点安全运营能力、绿色低碳水平和综合服务承载功能。</w:t>
      </w:r>
    </w:p>
    <w:p>
      <w:pPr>
        <w:pStyle w:val="3"/>
      </w:pPr>
      <w:bookmarkStart w:id="145" w:name="_Toc23660"/>
      <w:bookmarkStart w:id="146" w:name="_Toc228174660"/>
      <w:bookmarkStart w:id="147" w:name="_Toc237424194"/>
      <w:bookmarkStart w:id="148" w:name="_Toc30278"/>
      <w:bookmarkStart w:id="149" w:name="_Toc5854"/>
      <w:r>
        <w:rPr>
          <w:rFonts w:hint="eastAsia"/>
        </w:rPr>
        <w:t>（四）加强</w:t>
      </w:r>
      <w:r>
        <w:rPr>
          <w:rFonts w:hint="eastAsia" w:asciiTheme="majorHAnsi" w:hAnsiTheme="majorHAnsi"/>
        </w:rPr>
        <w:t>环保</w:t>
      </w:r>
      <w:r>
        <w:rPr>
          <w:rFonts w:hint="eastAsia"/>
        </w:rPr>
        <w:t>设施建设</w:t>
      </w:r>
      <w:bookmarkEnd w:id="145"/>
      <w:bookmarkEnd w:id="146"/>
      <w:bookmarkEnd w:id="147"/>
      <w:bookmarkEnd w:id="148"/>
      <w:bookmarkEnd w:id="149"/>
    </w:p>
    <w:p>
      <w:pPr>
        <w:ind w:firstLine="643"/>
      </w:pPr>
      <w:r>
        <w:rPr>
          <w:rFonts w:hint="eastAsia"/>
          <w:b/>
          <w:bCs/>
        </w:rPr>
        <w:t>深化油气回收系统治理。</w:t>
      </w:r>
      <w:r>
        <w:rPr>
          <w:rFonts w:hint="eastAsia"/>
        </w:rPr>
        <w:t>持续巩固油气回收治理成果，确保全市在营加油站、储油库的一次、二次油气回收装置稳定运行。重点推进城市建成区内加油站的三次油气回收系统安装与联网监管，有效削减挥发性有机物（VOCs）无组织排放，助力大气环境质量持续改善。</w:t>
      </w:r>
    </w:p>
    <w:p>
      <w:pPr>
        <w:ind w:firstLine="643"/>
      </w:pPr>
      <w:r>
        <w:rPr>
          <w:rFonts w:hint="eastAsia"/>
          <w:b/>
          <w:bCs/>
        </w:rPr>
        <w:t>强化站点防渗长效管理。</w:t>
      </w:r>
      <w:r>
        <w:rPr>
          <w:rFonts w:hint="eastAsia"/>
        </w:rPr>
        <w:t>统筹推进老旧站点地下设施隐患排查与整治，督促企业落实新建、迁建、改扩建站点防渗主体责任，常态化开展设施巡查、隐患排查与整改，从源头防范土壤及地下水环境风险。</w:t>
      </w:r>
    </w:p>
    <w:p>
      <w:pPr>
        <w:ind w:firstLine="643"/>
      </w:pPr>
      <w:r>
        <w:rPr>
          <w:rFonts w:hint="eastAsia"/>
          <w:b/>
          <w:bCs/>
        </w:rPr>
        <w:t>规范废弃物日常管控。</w:t>
      </w:r>
      <w:r>
        <w:rPr>
          <w:rFonts w:hint="eastAsia"/>
        </w:rPr>
        <w:t>严格落实危险废物和生活垃圾常态化分类、暂存、转运管理要求，规范油泥、废滤芯等危险废物全流程处置，完善洗车废水收集处理设施运维，保持站区环境整洁规范，常态化打造绿色清洁运营站点。</w:t>
      </w:r>
    </w:p>
    <w:p>
      <w:pPr>
        <w:pStyle w:val="2"/>
      </w:pPr>
      <w:bookmarkStart w:id="150" w:name="_Toc18149"/>
      <w:bookmarkStart w:id="151" w:name="_Toc4305"/>
      <w:bookmarkStart w:id="152" w:name="_Toc228174661"/>
      <w:bookmarkStart w:id="153" w:name="_Toc5766"/>
      <w:bookmarkStart w:id="154" w:name="_Toc237424195"/>
      <w:r>
        <w:rPr>
          <w:rFonts w:hint="eastAsia"/>
        </w:rPr>
        <w:t>六、规划环境影响分析</w:t>
      </w:r>
      <w:bookmarkEnd w:id="150"/>
      <w:bookmarkEnd w:id="151"/>
      <w:bookmarkEnd w:id="152"/>
      <w:bookmarkEnd w:id="153"/>
      <w:bookmarkEnd w:id="154"/>
    </w:p>
    <w:p>
      <w:pPr>
        <w:ind w:firstLine="640"/>
      </w:pPr>
      <w:r>
        <w:rPr>
          <w:rFonts w:hint="eastAsia"/>
        </w:rPr>
        <w:t>全面分析规划项目在施工期和运营期可能对大气、水、土壤、声环境及生态系统产生的潜在影响，提出针对性的减缓措施和管控要求，确保规划实施与区域生态环境承载能力相协调。</w:t>
      </w:r>
    </w:p>
    <w:p>
      <w:pPr>
        <w:pStyle w:val="3"/>
      </w:pPr>
      <w:bookmarkStart w:id="155" w:name="_Toc237424196"/>
      <w:bookmarkStart w:id="156" w:name="_Toc10117"/>
      <w:bookmarkStart w:id="157" w:name="_Toc31216"/>
      <w:bookmarkStart w:id="158" w:name="_Toc228174662"/>
      <w:bookmarkStart w:id="159" w:name="_Toc15989"/>
      <w:r>
        <w:rPr>
          <w:rFonts w:hint="eastAsia"/>
        </w:rPr>
        <w:t>（一）规划项目环境影响分析</w:t>
      </w:r>
      <w:bookmarkEnd w:id="155"/>
      <w:bookmarkEnd w:id="156"/>
      <w:bookmarkEnd w:id="157"/>
      <w:bookmarkEnd w:id="158"/>
      <w:bookmarkEnd w:id="159"/>
    </w:p>
    <w:p>
      <w:pPr>
        <w:ind w:firstLine="640"/>
      </w:pPr>
      <w:r>
        <w:rPr>
          <w:rFonts w:hint="eastAsia"/>
        </w:rPr>
        <w:t>规划布点选址将与《六盘水市国土空间总体规划（2021—2035年）》充分衔接，主动避让生态保护红线、永久基本农田、自然保护地、饮用水水源保护区等环境敏感区域。严格按照</w:t>
      </w:r>
      <w:r>
        <w:rPr>
          <w:rFonts w:hint="eastAsia"/>
          <w:lang w:eastAsia="zh-CN"/>
        </w:rPr>
        <w:t>“</w:t>
      </w:r>
      <w:r>
        <w:rPr>
          <w:rFonts w:hint="eastAsia"/>
        </w:rPr>
        <w:t>三线一单</w:t>
      </w:r>
      <w:r>
        <w:rPr>
          <w:rFonts w:hint="eastAsia"/>
          <w:lang w:eastAsia="zh-CN"/>
        </w:rPr>
        <w:t>”</w:t>
      </w:r>
      <w:r>
        <w:rPr>
          <w:rFonts w:hint="eastAsia"/>
        </w:rPr>
        <w:t>生态环境分区管控、交通影响评价设计标准、消防安全验收检查标准、特种设备许可标准进行选址布点。规划实施对环境的影响主要集中在局部的、暂时的施工期和长期的运营期。</w:t>
      </w:r>
    </w:p>
    <w:p>
      <w:pPr>
        <w:ind w:firstLine="643"/>
      </w:pPr>
      <w:r>
        <w:rPr>
          <w:rFonts w:hint="eastAsia"/>
          <w:b/>
          <w:bCs/>
        </w:rPr>
        <w:t>与水环境功能区划的协调性分析。</w:t>
      </w:r>
      <w:r>
        <w:rPr>
          <w:rFonts w:hint="eastAsia"/>
        </w:rPr>
        <w:t>规划站点的污水排放遵循分类收集、分质处理原则。在具备纳管条件的区域，废水经预处理后达标排入市政污水管网；在不具备纳管条件的区域，需配套建设小型污水处理设施并实现回用。通过严格执行防渗措施，规划实施对区域地表水和地下水环境影响可控。</w:t>
      </w:r>
    </w:p>
    <w:p>
      <w:pPr>
        <w:ind w:firstLine="643"/>
      </w:pPr>
      <w:r>
        <w:rPr>
          <w:rFonts w:hint="eastAsia"/>
          <w:b/>
          <w:bCs/>
        </w:rPr>
        <w:t>与大气环境功能区划的协调性分析。</w:t>
      </w:r>
      <w:r>
        <w:rPr>
          <w:rFonts w:hint="eastAsia"/>
        </w:rPr>
        <w:t>运营期主要大气污染物为非甲烷总烃。规划明确要求所有站点必须配备并正常运行油气回收系统，最大限度减少挥发性有机物（VOCs）无组织排放。施工期通过洒水降尘、密闭运输等措施可有效抑制扬尘。规划实施对区域大气环境质量影响较小。</w:t>
      </w:r>
    </w:p>
    <w:p>
      <w:pPr>
        <w:ind w:firstLine="643"/>
      </w:pPr>
      <w:r>
        <w:rPr>
          <w:rFonts w:hint="eastAsia"/>
          <w:b/>
          <w:bCs/>
        </w:rPr>
        <w:t>与声环境功能区划的协调性分析。</w:t>
      </w:r>
      <w:r>
        <w:rPr>
          <w:rFonts w:hint="eastAsia"/>
        </w:rPr>
        <w:t>规划站点选址均与居民区、学校、医院等敏感目标保持符合《汽车加油加气加氢站技术标准》（GB50156-2021）要求的安全和防护距离。通过选用低噪声设备、设置隔音屏障等措施，可确保站界噪声达标排放。</w:t>
      </w:r>
    </w:p>
    <w:p>
      <w:pPr>
        <w:ind w:firstLine="643"/>
      </w:pPr>
      <w:r>
        <w:rPr>
          <w:rFonts w:hint="eastAsia"/>
          <w:b/>
          <w:bCs/>
        </w:rPr>
        <w:t>生态环境影响分析。</w:t>
      </w:r>
      <w:r>
        <w:rPr>
          <w:rFonts w:hint="eastAsia"/>
        </w:rPr>
        <w:t>布局选址严格遵循《生态环境分区管控技术指南</w:t>
      </w:r>
      <w:r>
        <w:t xml:space="preserve"> </w:t>
      </w:r>
      <w:r>
        <w:rPr>
          <w:rFonts w:hint="eastAsia"/>
        </w:rPr>
        <w:t>总纲》（</w:t>
      </w:r>
      <w:r>
        <w:t>HJ 1430-2025</w:t>
      </w:r>
      <w:r>
        <w:rPr>
          <w:rFonts w:hint="eastAsia"/>
        </w:rPr>
        <w:t>）</w:t>
      </w:r>
      <w:r>
        <w:rPr>
          <w:rFonts w:hint="eastAsia"/>
          <w:lang w:eastAsia="zh-CN"/>
        </w:rPr>
        <w:t>“</w:t>
      </w:r>
      <w:r>
        <w:rPr>
          <w:rFonts w:hint="eastAsia"/>
        </w:rPr>
        <w:t>三线一单</w:t>
      </w:r>
      <w:r>
        <w:rPr>
          <w:rFonts w:hint="eastAsia"/>
          <w:lang w:eastAsia="zh-CN"/>
        </w:rPr>
        <w:t>”</w:t>
      </w:r>
      <w:r>
        <w:rPr>
          <w:rFonts w:hint="eastAsia"/>
        </w:rPr>
        <w:t>差异化分区管控要求开展合规性研判，对照辖区生态环境管控单元分类成果，严禁在优先保护单元布局新建加油站；若选址落在重点管控单元、一般管控单元，须严格匹配单元生态环境准入清单，落实空间布局约束、污染物排放管控、环境风险防控、资源利用效率四类管控要求，严守生态保护红线、环境质量底线、资源利用上线硬约束。规划项目占地面积相对较小，且优先利用存量建设用地。新增站点选址在国土空间规划的允许建设区内，不涉及大规模土石方开挖，对区域植被覆盖和生态景观格局的影响微弱。施工结束后通过站区绿化、边坡复绿等措施，可有效修复和改善局部生态环境。全站区配套双层防渗、应急收集池等风险防控设施，防范油品渗漏造成土壤、地下水生态损害，确保项目建设运营不突破区域生态环境管控底线。</w:t>
      </w:r>
    </w:p>
    <w:p>
      <w:pPr>
        <w:ind w:firstLine="643"/>
      </w:pPr>
      <w:r>
        <w:rPr>
          <w:rFonts w:hint="eastAsia"/>
          <w:b/>
          <w:bCs/>
        </w:rPr>
        <w:t>交通影响评价分析。</w:t>
      </w:r>
      <w:r>
        <w:rPr>
          <w:rFonts w:hint="eastAsia"/>
        </w:rPr>
        <w:t>布局选址需严格按照设计标准进行，消除交通安全隐患，加油站出入口要按照要求保持足够安全距离，禁止在长下坡、急弯等危险路段规划建设加油站。</w:t>
      </w:r>
    </w:p>
    <w:p>
      <w:pPr>
        <w:pStyle w:val="3"/>
      </w:pPr>
      <w:bookmarkStart w:id="160" w:name="_Toc24315"/>
      <w:bookmarkStart w:id="161" w:name="_Toc228174663"/>
      <w:bookmarkStart w:id="162" w:name="_Toc5282"/>
      <w:bookmarkStart w:id="163" w:name="_Toc23938"/>
      <w:bookmarkStart w:id="164" w:name="_Toc237424197"/>
      <w:r>
        <w:rPr>
          <w:rFonts w:hint="eastAsia"/>
        </w:rPr>
        <w:t>（二）施工期</w:t>
      </w:r>
      <w:r>
        <w:rPr>
          <w:rFonts w:hint="eastAsia" w:asciiTheme="majorHAnsi" w:hAnsiTheme="majorHAnsi"/>
        </w:rPr>
        <w:t>环境影响</w:t>
      </w:r>
      <w:r>
        <w:rPr>
          <w:rFonts w:hint="eastAsia"/>
        </w:rPr>
        <w:t>简要分析</w:t>
      </w:r>
      <w:bookmarkEnd w:id="160"/>
      <w:bookmarkEnd w:id="161"/>
      <w:bookmarkEnd w:id="162"/>
      <w:bookmarkEnd w:id="163"/>
      <w:bookmarkEnd w:id="164"/>
    </w:p>
    <w:p>
      <w:pPr>
        <w:ind w:firstLine="640"/>
      </w:pPr>
      <w:r>
        <w:rPr>
          <w:rFonts w:hint="eastAsia"/>
        </w:rPr>
        <w:t>施工期的环境影响主要为短期、可逆影响，随着施工活动的结束而消除。本规划要求各项目实施单位在施工期严格执行《贵州省施工场地扬尘排放标准》（DB52/1700-2022）和《建筑施工噪声排放标准》（GB12523-2025），强化环境管理，做到文明施工。</w:t>
      </w:r>
    </w:p>
    <w:p>
      <w:pPr>
        <w:ind w:firstLine="643"/>
      </w:pPr>
      <w:r>
        <w:rPr>
          <w:rFonts w:hint="eastAsia"/>
          <w:b/>
          <w:bCs/>
        </w:rPr>
        <w:t>大气环境影响分析。</w:t>
      </w:r>
      <w:r>
        <w:rPr>
          <w:rFonts w:hint="eastAsia"/>
        </w:rPr>
        <w:t>施工期大气环境影响主要源于场地平整、基础开挖、材料运输与堆放产生的扬尘（TSP），以及施工机械和运输车辆排放的尾气（含CO、NOx、THC等）。通过设置围挡、定时洒水、密闭运输、选用清洁燃料等措施，可将扬尘和尾气对周边环境的影响降至最低。</w:t>
      </w:r>
    </w:p>
    <w:p>
      <w:pPr>
        <w:ind w:firstLine="643"/>
      </w:pPr>
      <w:r>
        <w:rPr>
          <w:rFonts w:hint="eastAsia"/>
          <w:b/>
          <w:bCs/>
        </w:rPr>
        <w:t>水环境影响分析。</w:t>
      </w:r>
      <w:r>
        <w:rPr>
          <w:rFonts w:hint="eastAsia"/>
        </w:rPr>
        <w:t>施工期废水主要包含施工机械冲洗产生的含油废水和施工人员产生的生活污水。施工场地需设置隔油池、沉淀池，对含油废水进行预处理后回用或排放；生活污水依托周边既有设施或设置临时化粪池处理。严格管控施工物料堆放，防止雨水冲刷造成次生污染。</w:t>
      </w:r>
    </w:p>
    <w:p>
      <w:pPr>
        <w:ind w:firstLine="643"/>
      </w:pPr>
      <w:r>
        <w:rPr>
          <w:rFonts w:hint="eastAsia"/>
          <w:b/>
          <w:bCs/>
        </w:rPr>
        <w:t>噪声环境影响分析。</w:t>
      </w:r>
      <w:r>
        <w:rPr>
          <w:rFonts w:hint="eastAsia"/>
        </w:rPr>
        <w:t>施工噪声主要来源于打桩机、挖掘机、推土机、混凝土搅拌机及运输车辆等。施工单位应合理安排作业时间，避免夜间和午间休息时段进行高噪声作业；选用低噪声施工设备，并加强维护保养，确保施工场界噪声达标。</w:t>
      </w:r>
    </w:p>
    <w:p>
      <w:pPr>
        <w:ind w:firstLine="643"/>
      </w:pPr>
      <w:r>
        <w:rPr>
          <w:rFonts w:hint="eastAsia"/>
          <w:b/>
          <w:bCs/>
        </w:rPr>
        <w:t>固体废物环境影响分析。</w:t>
      </w:r>
      <w:r>
        <w:rPr>
          <w:rFonts w:hint="eastAsia"/>
        </w:rPr>
        <w:t>施工期固体废物主要为建筑垃圾、弃土和施工人员生活垃圾。建筑垃圾和弃土应按照城市管理规定运至指定消纳场处置；生活垃圾统一收集后交由环卫部门清运处理，严禁随意倾倒。</w:t>
      </w:r>
    </w:p>
    <w:p>
      <w:pPr>
        <w:ind w:firstLine="643"/>
      </w:pPr>
      <w:r>
        <w:rPr>
          <w:rFonts w:hint="eastAsia"/>
          <w:b/>
          <w:bCs/>
        </w:rPr>
        <w:t>生态环境影响分析。</w:t>
      </w:r>
      <w:r>
        <w:rPr>
          <w:rFonts w:hint="eastAsia"/>
        </w:rPr>
        <w:t>项目施工会扰动地表，造成局部水土流失。特别是在六盘水多山、喀斯特地貌发育的特点下，应优化竖向设计，减少土石方挖填，做好临时截排水沟和边坡防护工程，最大限度减少水土流失。</w:t>
      </w:r>
    </w:p>
    <w:p>
      <w:pPr>
        <w:pStyle w:val="3"/>
      </w:pPr>
      <w:bookmarkStart w:id="165" w:name="_Toc237424198"/>
      <w:bookmarkStart w:id="166" w:name="_Toc228174664"/>
      <w:bookmarkStart w:id="167" w:name="_Toc14961"/>
      <w:bookmarkStart w:id="168" w:name="_Toc30236"/>
      <w:bookmarkStart w:id="169" w:name="_Toc27212"/>
      <w:r>
        <w:rPr>
          <w:rFonts w:hint="eastAsia"/>
        </w:rPr>
        <w:t>（三）运营期</w:t>
      </w:r>
      <w:r>
        <w:rPr>
          <w:rFonts w:hint="eastAsia" w:asciiTheme="majorHAnsi" w:hAnsiTheme="majorHAnsi"/>
        </w:rPr>
        <w:t>环境影响</w:t>
      </w:r>
      <w:r>
        <w:rPr>
          <w:rFonts w:hint="eastAsia"/>
        </w:rPr>
        <w:t>简要分析</w:t>
      </w:r>
      <w:bookmarkEnd w:id="165"/>
      <w:bookmarkEnd w:id="166"/>
      <w:bookmarkEnd w:id="167"/>
      <w:bookmarkEnd w:id="168"/>
      <w:bookmarkEnd w:id="169"/>
    </w:p>
    <w:p>
      <w:pPr>
        <w:ind w:firstLine="640"/>
      </w:pPr>
      <w:r>
        <w:rPr>
          <w:rFonts w:hint="eastAsia"/>
        </w:rPr>
        <w:t>运营期环境影响是长期、持续的影响，是规划环评关注的重点。必须通过严格的工程措施和规范的运营管理，确保各项污染物达标排放，将对环境的影响控制在标准允许范围内。</w:t>
      </w:r>
    </w:p>
    <w:p>
      <w:pPr>
        <w:ind w:firstLine="643"/>
      </w:pPr>
      <w:r>
        <w:rPr>
          <w:rFonts w:hint="eastAsia"/>
          <w:b/>
          <w:bCs/>
        </w:rPr>
        <w:t>废气环境影响分析。</w:t>
      </w:r>
      <w:r>
        <w:rPr>
          <w:rFonts w:hint="eastAsia"/>
        </w:rPr>
        <w:t>运营期废气主要来自油品储存、装卸和加注过程中挥发的油气（主要污染物为非甲烷总烃，NMHC），以及进出站车辆排放的尾气。减缓措施：必须严格实施并定期维护油气回收系统（一次、二次、三次回收），确保系统密闭性、液阻和气液比指标符合《加油站大气污染物排放标准》（GB20952-2020）要求，油气回收效率不低于95%。同时，鼓励在具备条件的站点推广使用光伏发电等清洁能源，辅助站内用电，减少间接碳排放。</w:t>
      </w:r>
    </w:p>
    <w:p>
      <w:pPr>
        <w:ind w:firstLine="643"/>
      </w:pPr>
      <w:r>
        <w:rPr>
          <w:rFonts w:hint="eastAsia"/>
          <w:b/>
          <w:bCs/>
        </w:rPr>
        <w:t>土壤和地下水环境影响分析。</w:t>
      </w:r>
      <w:r>
        <w:rPr>
          <w:rFonts w:hint="eastAsia"/>
        </w:rPr>
        <w:t>油品和危废的渗漏是土壤和地下水污染的主要风险源。减缓措施：新建和改扩建站点的油罐区、输油管线必须严格按照《汽车加油加气加氢站技术标准》（GB50156-2021）要求，采用双层复合防渗结构，并设置渗漏检测仪和监测井，实现对罐体和管线的24小时在线监控。六盘水喀斯特地貌区地下水系发达，防污性能脆弱，须特别加强地质勘察和基础防渗处理，渗透系数不得大于</w:t>
      </w:r>
      <w:r>
        <w:t>10</w:t>
      </w:r>
      <w:r>
        <w:rPr>
          <w:vertAlign w:val="superscript"/>
        </w:rPr>
        <w:t>-12</w:t>
      </w:r>
      <w:r>
        <w:rPr>
          <w:rStyle w:val="55"/>
          <w:rFonts w:hint="default" w:cs="Times New Roman"/>
          <w:sz w:val="29"/>
          <w:szCs w:val="29"/>
          <w:shd w:val="clear" w:color="auto" w:fill="FFFFFF"/>
        </w:rPr>
        <w:t>cm/s</w:t>
      </w:r>
      <w:r>
        <w:rPr>
          <w:rFonts w:hint="eastAsia"/>
        </w:rPr>
        <w:t>。同时，建立定期巡查和监测制度，一旦发现渗漏立即启动应急预案。</w:t>
      </w:r>
    </w:p>
    <w:p>
      <w:pPr>
        <w:ind w:firstLine="643"/>
      </w:pPr>
      <w:r>
        <w:rPr>
          <w:rFonts w:hint="eastAsia"/>
          <w:b/>
          <w:bCs/>
        </w:rPr>
        <w:t>水环境影响分析。</w:t>
      </w:r>
      <w:r>
        <w:rPr>
          <w:rFonts w:hint="eastAsia"/>
        </w:rPr>
        <w:t>运营期废水主要包括初期雨水（含少量油污）、洗车废水和生活污水。减缓措施：严格执行</w:t>
      </w:r>
      <w:r>
        <w:rPr>
          <w:rFonts w:hint="eastAsia"/>
          <w:lang w:eastAsia="zh-CN"/>
        </w:rPr>
        <w:t>“</w:t>
      </w:r>
      <w:r>
        <w:rPr>
          <w:rFonts w:hint="eastAsia"/>
        </w:rPr>
        <w:t>雨污分流、清污分流</w:t>
      </w:r>
      <w:r>
        <w:rPr>
          <w:rFonts w:hint="eastAsia"/>
          <w:lang w:eastAsia="zh-CN"/>
        </w:rPr>
        <w:t>”</w:t>
      </w:r>
      <w:r>
        <w:rPr>
          <w:rFonts w:hint="eastAsia"/>
        </w:rPr>
        <w:t>。场地雨水经环保沟收集后排入沉砂池；洗车废水经隔油池、沉淀池或一体化污水处理设备处理后循环使用或达标排放；生活污水经化粪池处理后纳入市政污水管网。严禁各类未经处理的废水直接外排。</w:t>
      </w:r>
    </w:p>
    <w:p>
      <w:pPr>
        <w:ind w:firstLine="643"/>
      </w:pPr>
      <w:r>
        <w:rPr>
          <w:rFonts w:hint="eastAsia"/>
          <w:b/>
          <w:bCs/>
        </w:rPr>
        <w:t>噪声环境影响分析。</w:t>
      </w:r>
      <w:r>
        <w:rPr>
          <w:rFonts w:hint="eastAsia"/>
        </w:rPr>
        <w:t>运营期噪声主要为加油机、潜油泵、发电机（备用）等设备运行噪声和车辆进出、鸣笛产生的交通噪声。减缓措施：优先选用低噪声设备，对高噪声设备采取基础减震、设置隔音罩等措施；合理规划站内行车路线，设置限速和禁止鸣笛标识；加强站区及周边绿化，利用植物屏障降噪。确保厂界噪声符合《工业企业厂界环境噪声排放标准》（GB12348-2008）要求。</w:t>
      </w:r>
    </w:p>
    <w:p>
      <w:pPr>
        <w:ind w:firstLine="643"/>
      </w:pPr>
      <w:r>
        <w:rPr>
          <w:rFonts w:hint="eastAsia"/>
          <w:b/>
          <w:bCs/>
        </w:rPr>
        <w:t>固体废物环境影响分析。</w:t>
      </w:r>
      <w:r>
        <w:rPr>
          <w:rFonts w:hint="eastAsia"/>
        </w:rPr>
        <w:t>运营期产生的固体废物主要包括一般生活垃圾和危险废物（如清理油罐产生的油泥、更换的废滤芯等，废物代码HW08、HW49）。减缓措施：生活垃圾由环卫部门统一清运。危险废物须严格按照《危险废物贮存污染控制标准》（GB18597-2023）要求，在站内划定专门区域进行密闭暂存，设置明显标识，并与具备相应资质的单位签订处置协议，严格执行危险废物转移联单制度，确保全过程规范管理，杜绝二次污染。</w:t>
      </w:r>
    </w:p>
    <w:p>
      <w:pPr>
        <w:ind w:firstLine="643"/>
      </w:pPr>
      <w:r>
        <w:rPr>
          <w:rFonts w:hint="eastAsia"/>
          <w:b/>
          <w:bCs/>
        </w:rPr>
        <w:t>环境风险分析。</w:t>
      </w:r>
      <w:r>
        <w:rPr>
          <w:rFonts w:hint="eastAsia"/>
        </w:rPr>
        <w:t>站点运营存在油品泄漏、火灾、爆炸等环境风险。同时，加氢站还存在氢气泄漏、氢气燃爆、低温介质冻伤、氢气放空扩散等特有安全环境风险，需落实加氢站专项应急管控要求。减缓措施：必须制定并定期演练突发环境事件应急预案，配备充足的应急物资（如吸油毡、围油栏、消防器材等），站内设置应急事故池。针对加氢站：一是严格执行《汽车加油加气加氢站技术标准》（</w:t>
      </w:r>
      <w:r>
        <w:t>GB50156‑2021</w:t>
      </w:r>
      <w:r>
        <w:rPr>
          <w:rFonts w:hint="eastAsia"/>
        </w:rPr>
        <w:t>）相关要求，加氢工艺区设置可燃氢气探测报警装置、紧急切断联锁放空系统，做好通风、防爆防静电设计；二是配套氢气泄漏处置、低温冻伤人员急救专项应急处置流程，配齐氢气泄漏处置、低温防护类应急物资；三是加氢站应急预案应补充氢能事故专项处置章节，明确氢气泄漏、起火爆炸的处置流程，定期开展氢能场景应急演练；四是强化加氢站周边环境风险研判，结合六盘水喀斯特山地地形条件，合理设置氢气放空口位置，规避密闭低洼易积聚区域，防范氢气聚集带来的次生风险。加强与应急、消防、生态环境等部门的应急联动，切实提升风险防控和应急处置能力。</w:t>
      </w:r>
    </w:p>
    <w:p>
      <w:pPr>
        <w:pStyle w:val="2"/>
      </w:pPr>
      <w:bookmarkStart w:id="170" w:name="_Toc31710"/>
      <w:bookmarkStart w:id="171" w:name="_Toc228174665"/>
      <w:bookmarkStart w:id="172" w:name="_Toc14890"/>
      <w:bookmarkStart w:id="173" w:name="_Toc8037"/>
      <w:bookmarkStart w:id="174" w:name="_Toc237424199"/>
      <w:r>
        <w:rPr>
          <w:rFonts w:hint="eastAsia"/>
        </w:rPr>
        <w:t>七、规划实施保证措施</w:t>
      </w:r>
      <w:bookmarkEnd w:id="170"/>
      <w:bookmarkEnd w:id="171"/>
      <w:bookmarkEnd w:id="172"/>
      <w:bookmarkEnd w:id="173"/>
      <w:bookmarkEnd w:id="174"/>
    </w:p>
    <w:p>
      <w:pPr>
        <w:pStyle w:val="3"/>
      </w:pPr>
      <w:bookmarkStart w:id="175" w:name="_Toc10614"/>
      <w:bookmarkStart w:id="176" w:name="_Toc228174666"/>
      <w:bookmarkStart w:id="177" w:name="_Toc237424200"/>
      <w:bookmarkStart w:id="178" w:name="_Toc1333"/>
      <w:bookmarkStart w:id="179" w:name="_Toc8271"/>
      <w:r>
        <w:rPr>
          <w:rFonts w:hint="eastAsia"/>
        </w:rPr>
        <w:t>（一）强化</w:t>
      </w:r>
      <w:r>
        <w:rPr>
          <w:rFonts w:hint="eastAsia" w:asciiTheme="majorHAnsi" w:hAnsiTheme="majorHAnsi"/>
        </w:rPr>
        <w:t>政策</w:t>
      </w:r>
      <w:r>
        <w:rPr>
          <w:rFonts w:hint="eastAsia"/>
        </w:rPr>
        <w:t>制度支撑</w:t>
      </w:r>
      <w:bookmarkEnd w:id="175"/>
      <w:bookmarkEnd w:id="176"/>
      <w:bookmarkEnd w:id="177"/>
      <w:bookmarkEnd w:id="178"/>
      <w:bookmarkEnd w:id="179"/>
    </w:p>
    <w:p>
      <w:pPr>
        <w:spacing w:line="560" w:lineRule="exact"/>
        <w:ind w:firstLine="640"/>
      </w:pPr>
      <w:r>
        <w:rPr>
          <w:rFonts w:hint="eastAsia"/>
        </w:rPr>
        <w:t>强化本规划作为成品油及综合能源零售体系建设管理重要依据的权威地位。新建、迁建、改（扩）建站点须严格依据本规划进行符合性审查，不符合布局和设置标准的项目一律不予许可。规划期内，各区（市）指标实行分县总量控制、独立管理，不得跨县域调剂或将乡镇规划调整至城区；确因行政区划调整、重大交通工程建设等特殊情形需优化调整的，须报市人民政府批准，且调整总量不得突破全市规划控制总指标。</w:t>
      </w:r>
    </w:p>
    <w:p>
      <w:pPr>
        <w:spacing w:line="560" w:lineRule="exact"/>
        <w:ind w:firstLine="640"/>
      </w:pPr>
      <w:r>
        <w:rPr>
          <w:rFonts w:hint="eastAsia"/>
        </w:rPr>
        <w:t>建立由商务部门牵头、多部门协同的联席会议机制，统筹协调规划选址、土地供应、安全环保、规划衔接等事项。强化本规划与国土空间总体规划、详细规划、国民经济和社会发展总体规划的有效衔接，站点选址须符合用途管制要求。</w:t>
      </w:r>
    </w:p>
    <w:p>
      <w:pPr>
        <w:spacing w:line="560" w:lineRule="exact"/>
        <w:ind w:firstLine="640"/>
      </w:pPr>
      <w:r>
        <w:rPr>
          <w:rFonts w:hint="eastAsia"/>
        </w:rPr>
        <w:t>对提升服务功能、拓展多元业态的加油站，各职能部门应给予专项政策支持，在符合安全、环保等底线要求的前提下，简化审批、备案、验收流程，提升服务效能。</w:t>
      </w:r>
    </w:p>
    <w:p>
      <w:pPr>
        <w:pStyle w:val="3"/>
      </w:pPr>
      <w:bookmarkStart w:id="180" w:name="_Toc15854"/>
      <w:bookmarkStart w:id="181" w:name="_Toc27587"/>
      <w:bookmarkStart w:id="182" w:name="_Toc228174667"/>
      <w:bookmarkStart w:id="183" w:name="_Toc237424201"/>
      <w:bookmarkStart w:id="184" w:name="_Toc11032"/>
      <w:r>
        <w:rPr>
          <w:rFonts w:hint="eastAsia"/>
        </w:rPr>
        <w:t>（二）严格监督考核评估</w:t>
      </w:r>
      <w:bookmarkEnd w:id="180"/>
      <w:bookmarkEnd w:id="181"/>
      <w:bookmarkEnd w:id="182"/>
      <w:bookmarkEnd w:id="183"/>
      <w:bookmarkEnd w:id="184"/>
    </w:p>
    <w:p>
      <w:pPr>
        <w:spacing w:line="560" w:lineRule="exact"/>
        <w:ind w:firstLine="640"/>
      </w:pPr>
      <w:r>
        <w:rPr>
          <w:rFonts w:hint="eastAsia"/>
        </w:rPr>
        <w:t>依托智慧监管平台建立规划实施年度监测报告制度，对站点数量变化、空间布局及新能源业务拓展情况进行动态跟踪，实行重点任务清单化管理；积极组织开展规划中期评估，根据经济社会发展、交通网络变化及新能源汽车替代等形势依法依规调整优化规划内容。同时严格落实成品油零售经营企业年度检查制度，将检查结果纳入信用分级分类管理体系，形成</w:t>
      </w:r>
      <w:r>
        <w:rPr>
          <w:rFonts w:hint="eastAsia"/>
          <w:lang w:eastAsia="zh-CN"/>
        </w:rPr>
        <w:t>“</w:t>
      </w:r>
      <w:r>
        <w:rPr>
          <w:rFonts w:hint="eastAsia"/>
        </w:rPr>
        <w:t>守信激励、失信惩戒</w:t>
      </w:r>
      <w:r>
        <w:rPr>
          <w:rFonts w:hint="eastAsia"/>
          <w:lang w:eastAsia="zh-CN"/>
        </w:rPr>
        <w:t>”</w:t>
      </w:r>
      <w:r>
        <w:rPr>
          <w:rFonts w:hint="eastAsia"/>
        </w:rPr>
        <w:t>的行业监管格局。</w:t>
      </w:r>
    </w:p>
    <w:p>
      <w:pPr>
        <w:pStyle w:val="3"/>
      </w:pPr>
      <w:bookmarkStart w:id="185" w:name="_Toc22463"/>
      <w:bookmarkStart w:id="186" w:name="_Toc228174668"/>
      <w:bookmarkStart w:id="187" w:name="_Toc237424202"/>
      <w:bookmarkStart w:id="188" w:name="_Toc7348"/>
      <w:bookmarkStart w:id="189" w:name="_Toc27790"/>
      <w:r>
        <w:rPr>
          <w:rFonts w:hint="eastAsia"/>
        </w:rPr>
        <w:t>（三）筑牢安全生产底线</w:t>
      </w:r>
      <w:bookmarkEnd w:id="185"/>
      <w:bookmarkEnd w:id="186"/>
      <w:bookmarkEnd w:id="187"/>
      <w:bookmarkEnd w:id="188"/>
      <w:bookmarkEnd w:id="189"/>
    </w:p>
    <w:p>
      <w:pPr>
        <w:spacing w:line="560" w:lineRule="exact"/>
        <w:ind w:firstLine="640"/>
      </w:pPr>
      <w:r>
        <w:rPr>
          <w:rFonts w:hint="eastAsia"/>
        </w:rPr>
        <w:t>压紧压实企业安全生产主体责任，督促成品油经营企业严格遵守安全生产法律法规，加大安全投入并持续推进安全生产标准化建设。全面推行安全风险分级管控和隐患排查治理双重预防机制，建立风险清单和隐患整改台账，实现闭环管理，并重点防范六盘水喀斯特地貌和矿山地质特点可能引发的地质灾害风险。各站点须按照</w:t>
      </w:r>
      <w:r>
        <w:rPr>
          <w:rFonts w:hint="eastAsia"/>
          <w:lang w:eastAsia="zh-CN"/>
        </w:rPr>
        <w:t>“</w:t>
      </w:r>
      <w:r>
        <w:rPr>
          <w:rFonts w:hint="eastAsia"/>
        </w:rPr>
        <w:t>一站一案</w:t>
      </w:r>
      <w:r>
        <w:rPr>
          <w:rFonts w:hint="eastAsia"/>
          <w:lang w:eastAsia="zh-CN"/>
        </w:rPr>
        <w:t>”</w:t>
      </w:r>
      <w:r>
        <w:rPr>
          <w:rFonts w:hint="eastAsia"/>
        </w:rPr>
        <w:t>原则完善应急预案并定期组织实战演练，提升初期应急处置能力，同时严格执行散装燃油实名登记制度，坚决筑牢站点安全平稳运行防线。</w:t>
      </w:r>
    </w:p>
    <w:p>
      <w:pPr>
        <w:pStyle w:val="3"/>
      </w:pPr>
      <w:bookmarkStart w:id="190" w:name="_Toc22606"/>
      <w:bookmarkStart w:id="191" w:name="_Toc20294"/>
      <w:bookmarkStart w:id="192" w:name="_Toc237424203"/>
      <w:bookmarkStart w:id="193" w:name="_Toc228174669"/>
      <w:bookmarkStart w:id="194" w:name="_Toc7343"/>
      <w:r>
        <w:rPr>
          <w:rFonts w:hint="eastAsia"/>
        </w:rPr>
        <w:t>（四）引导规范有序经营</w:t>
      </w:r>
      <w:bookmarkEnd w:id="190"/>
      <w:bookmarkEnd w:id="191"/>
      <w:bookmarkEnd w:id="192"/>
      <w:bookmarkEnd w:id="193"/>
      <w:bookmarkEnd w:id="194"/>
    </w:p>
    <w:p>
      <w:pPr>
        <w:spacing w:line="560" w:lineRule="exact"/>
        <w:ind w:firstLine="640"/>
      </w:pPr>
      <w:r>
        <w:rPr>
          <w:rFonts w:hint="eastAsia"/>
        </w:rPr>
        <w:t>严格按照《贵州省成品油流通管理实施细则》规定的条件和程序实施成品油零售经营资格许可，坚持</w:t>
      </w:r>
      <w:r>
        <w:rPr>
          <w:rFonts w:hint="eastAsia"/>
          <w:lang w:eastAsia="zh-CN"/>
        </w:rPr>
        <w:t>“</w:t>
      </w:r>
      <w:r>
        <w:rPr>
          <w:rFonts w:hint="eastAsia"/>
        </w:rPr>
        <w:t>一站一证</w:t>
      </w:r>
      <w:r>
        <w:rPr>
          <w:rFonts w:hint="eastAsia"/>
          <w:lang w:eastAsia="zh-CN"/>
        </w:rPr>
        <w:t>”</w:t>
      </w:r>
      <w:r>
        <w:rPr>
          <w:rFonts w:hint="eastAsia"/>
        </w:rPr>
        <w:t>，强化对油品来源、购销存台账、销售质量及计量价格等日常经营行为的全过程监管。持续深化成品油市场</w:t>
      </w:r>
      <w:r>
        <w:rPr>
          <w:rFonts w:hint="eastAsia"/>
          <w:lang w:eastAsia="zh-CN"/>
        </w:rPr>
        <w:t>“</w:t>
      </w:r>
      <w:r>
        <w:rPr>
          <w:rFonts w:hint="eastAsia"/>
        </w:rPr>
        <w:t>打非治违</w:t>
      </w:r>
      <w:r>
        <w:rPr>
          <w:rFonts w:hint="eastAsia"/>
          <w:lang w:eastAsia="zh-CN"/>
        </w:rPr>
        <w:t>”</w:t>
      </w:r>
      <w:r>
        <w:rPr>
          <w:rFonts w:hint="eastAsia"/>
        </w:rPr>
        <w:t>专项整治，建立多部门联合执法机制，严厉打击无证经营、非法储运、销售非标油品及偷逃税款等</w:t>
      </w:r>
      <w:r>
        <w:rPr>
          <w:rFonts w:hint="eastAsia"/>
          <w:lang w:eastAsia="zh-CN"/>
        </w:rPr>
        <w:t>“</w:t>
      </w:r>
      <w:r>
        <w:rPr>
          <w:rFonts w:hint="eastAsia"/>
        </w:rPr>
        <w:t>三黑一票</w:t>
      </w:r>
      <w:r>
        <w:rPr>
          <w:rFonts w:hint="eastAsia"/>
          <w:lang w:eastAsia="zh-CN"/>
        </w:rPr>
        <w:t>”</w:t>
      </w:r>
      <w:r>
        <w:rPr>
          <w:rFonts w:hint="eastAsia"/>
        </w:rPr>
        <w:t>违法行为。支持成品油流通行业协会加强自律建设，发挥其在政策宣贯、技能培训和信用建设中的桥梁纽带作用，引导企业规范经营，营造公平有序的市场环境。</w:t>
      </w:r>
      <w:r>
        <w:br w:type="page"/>
      </w:r>
    </w:p>
    <w:p>
      <w:pPr>
        <w:pStyle w:val="2"/>
      </w:pPr>
      <w:bookmarkStart w:id="195" w:name="_Toc19924"/>
      <w:bookmarkStart w:id="196" w:name="_Toc237424204"/>
      <w:bookmarkStart w:id="197" w:name="_Toc15129"/>
      <w:bookmarkStart w:id="198" w:name="_Toc5985"/>
      <w:r>
        <w:rPr>
          <w:rFonts w:hint="eastAsia"/>
        </w:rPr>
        <w:drawing>
          <wp:anchor distT="0" distB="0" distL="114300" distR="114300" simplePos="0" relativeHeight="251659264" behindDoc="0" locked="0" layoutInCell="1" allowOverlap="1">
            <wp:simplePos x="0" y="0"/>
            <wp:positionH relativeFrom="margin">
              <wp:align>left</wp:align>
            </wp:positionH>
            <wp:positionV relativeFrom="paragraph">
              <wp:posOffset>523875</wp:posOffset>
            </wp:positionV>
            <wp:extent cx="5274310" cy="7475855"/>
            <wp:effectExtent l="0" t="0" r="2540" b="1270"/>
            <wp:wrapTopAndBottom/>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17" cstate="print">
                      <a:extLst>
                        <a:ext uri="{28A0092B-C50C-407E-A947-70E740481C1C}">
                          <a14:useLocalDpi xmlns:a14="http://schemas.microsoft.com/office/drawing/2010/main" val="false"/>
                        </a:ext>
                      </a:extLst>
                    </a:blip>
                    <a:stretch>
                      <a:fillRect/>
                    </a:stretch>
                  </pic:blipFill>
                  <pic:spPr>
                    <a:xfrm>
                      <a:off x="0" y="0"/>
                      <a:ext cx="5275848" cy="7475855"/>
                    </a:xfrm>
                    <a:prstGeom prst="rect">
                      <a:avLst/>
                    </a:prstGeom>
                  </pic:spPr>
                </pic:pic>
              </a:graphicData>
            </a:graphic>
          </wp:anchor>
        </w:drawing>
      </w:r>
      <w:r>
        <w:rPr>
          <w:rFonts w:hint="eastAsia"/>
        </w:rPr>
        <w:t>附图1：六盘水市</w:t>
      </w:r>
      <w:r>
        <w:rPr>
          <w:rFonts w:hint="eastAsia"/>
          <w:lang w:eastAsia="zh-CN"/>
        </w:rPr>
        <w:t>“</w:t>
      </w:r>
      <w:r>
        <w:rPr>
          <w:rFonts w:hint="eastAsia"/>
        </w:rPr>
        <w:t>十五五</w:t>
      </w:r>
      <w:r>
        <w:rPr>
          <w:rFonts w:hint="eastAsia"/>
          <w:lang w:eastAsia="zh-CN"/>
        </w:rPr>
        <w:t>”</w:t>
      </w:r>
      <w:r>
        <w:rPr>
          <w:rFonts w:hint="eastAsia"/>
        </w:rPr>
        <w:t>公路规划示意图</w:t>
      </w:r>
      <w:bookmarkEnd w:id="195"/>
      <w:bookmarkEnd w:id="196"/>
      <w:r>
        <w:br w:type="page"/>
      </w:r>
      <w:bookmarkEnd w:id="197"/>
      <w:bookmarkEnd w:id="198"/>
    </w:p>
    <w:p>
      <w:pPr>
        <w:pStyle w:val="2"/>
      </w:pPr>
      <w:bookmarkStart w:id="199" w:name="_Toc3126"/>
      <w:bookmarkStart w:id="200" w:name="_Toc3908"/>
      <w:bookmarkStart w:id="201" w:name="_Toc237424205"/>
      <w:r>
        <w:rPr>
          <w:rFonts w:hint="eastAsia"/>
        </w:rPr>
        <w:t>附图2：六盘水市</w:t>
      </w:r>
      <w:r>
        <w:rPr>
          <w:rFonts w:hint="eastAsia"/>
          <w:lang w:eastAsia="zh-CN"/>
        </w:rPr>
        <w:t>“</w:t>
      </w:r>
      <w:r>
        <w:rPr>
          <w:rFonts w:hint="eastAsia"/>
        </w:rPr>
        <w:t>十五五</w:t>
      </w:r>
      <w:r>
        <w:rPr>
          <w:rFonts w:hint="eastAsia"/>
          <w:lang w:eastAsia="zh-CN"/>
        </w:rPr>
        <w:t>”</w:t>
      </w:r>
      <w:r>
        <w:rPr>
          <w:rFonts w:hint="eastAsia"/>
        </w:rPr>
        <w:t>铁路民航水运规划示意图</w:t>
      </w:r>
      <w:bookmarkEnd w:id="199"/>
      <w:bookmarkEnd w:id="200"/>
      <w:bookmarkEnd w:id="201"/>
      <w:bookmarkStart w:id="202" w:name="_Toc18060"/>
    </w:p>
    <w:p>
      <w:pPr>
        <w:ind w:firstLine="640"/>
      </w:pPr>
      <w:r>
        <w:rPr>
          <w:rFonts w:hint="eastAsia"/>
        </w:rPr>
        <w:drawing>
          <wp:anchor distT="0" distB="0" distL="114300" distR="114300" simplePos="0" relativeHeight="251660288" behindDoc="0" locked="0" layoutInCell="1" allowOverlap="1">
            <wp:simplePos x="0" y="0"/>
            <wp:positionH relativeFrom="column">
              <wp:posOffset>71755</wp:posOffset>
            </wp:positionH>
            <wp:positionV relativeFrom="paragraph">
              <wp:posOffset>36830</wp:posOffset>
            </wp:positionV>
            <wp:extent cx="5531485" cy="6978650"/>
            <wp:effectExtent l="0" t="0" r="2540" b="3175"/>
            <wp:wrapSquare wrapText="bothSides"/>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8" cstate="print">
                      <a:extLst>
                        <a:ext uri="{28A0092B-C50C-407E-A947-70E740481C1C}">
                          <a14:useLocalDpi xmlns:a14="http://schemas.microsoft.com/office/drawing/2010/main" val="false"/>
                        </a:ext>
                      </a:extLst>
                    </a:blip>
                    <a:stretch>
                      <a:fillRect/>
                    </a:stretch>
                  </pic:blipFill>
                  <pic:spPr>
                    <a:xfrm>
                      <a:off x="0" y="0"/>
                      <a:ext cx="5531485" cy="6978650"/>
                    </a:xfrm>
                    <a:prstGeom prst="rect">
                      <a:avLst/>
                    </a:prstGeom>
                  </pic:spPr>
                </pic:pic>
              </a:graphicData>
            </a:graphic>
          </wp:anchor>
        </w:drawing>
      </w:r>
      <w:bookmarkEnd w:id="202"/>
    </w:p>
    <w:p>
      <w:pPr>
        <w:ind w:firstLine="640"/>
        <w:sectPr>
          <w:footerReference r:id="rId13" w:type="default"/>
          <w:footerReference r:id="rId14" w:type="even"/>
          <w:pgSz w:w="11906" w:h="16838"/>
          <w:pgMar w:top="2098" w:right="1418" w:bottom="1985" w:left="1588" w:header="851" w:footer="992" w:gutter="0"/>
          <w:pgNumType w:start="1"/>
          <w:cols w:space="425" w:num="1"/>
          <w:docGrid w:type="lines" w:linePitch="312" w:charSpace="0"/>
        </w:sectPr>
      </w:pPr>
      <w:bookmarkStart w:id="203" w:name="_Toc228174670"/>
    </w:p>
    <w:p>
      <w:pPr>
        <w:pStyle w:val="2"/>
      </w:pPr>
      <w:bookmarkStart w:id="204" w:name="_Toc237424206"/>
      <w:bookmarkStart w:id="205" w:name="_Toc4365"/>
      <w:bookmarkStart w:id="206" w:name="_Toc6569"/>
      <w:bookmarkStart w:id="207" w:name="_Toc31398"/>
      <w:r>
        <w:rPr>
          <w:rFonts w:hint="eastAsia"/>
        </w:rPr>
        <w:t>附图3：六盘水市</w:t>
      </w:r>
      <w:r>
        <w:rPr>
          <w:rFonts w:hint="eastAsia"/>
          <w:lang w:eastAsia="zh-CN"/>
        </w:rPr>
        <w:t>“</w:t>
      </w:r>
      <w:r>
        <w:rPr>
          <w:rFonts w:hint="eastAsia"/>
        </w:rPr>
        <w:t>十五五</w:t>
      </w:r>
      <w:r>
        <w:rPr>
          <w:rFonts w:hint="eastAsia"/>
          <w:lang w:eastAsia="zh-CN"/>
        </w:rPr>
        <w:t>”</w:t>
      </w:r>
      <w:r>
        <w:rPr>
          <w:rFonts w:hint="eastAsia"/>
        </w:rPr>
        <w:t>成品油分销体系发展规划站点布局图</w:t>
      </w:r>
      <w:bookmarkEnd w:id="204"/>
    </w:p>
    <w:p>
      <w:pPr>
        <w:spacing w:line="240" w:lineRule="auto"/>
        <w:ind w:firstLine="0" w:firstLineChars="0"/>
        <w:sectPr>
          <w:footerReference r:id="rId15" w:type="default"/>
          <w:pgSz w:w="16838" w:h="23811"/>
          <w:pgMar w:top="1440" w:right="1800" w:bottom="1440" w:left="1800" w:header="851" w:footer="850" w:gutter="0"/>
          <w:cols w:space="425" w:num="1"/>
          <w:docGrid w:type="lines" w:linePitch="435" w:charSpace="0"/>
        </w:sectPr>
      </w:pPr>
      <w:r>
        <w:drawing>
          <wp:inline distT="0" distB="0" distL="0" distR="0">
            <wp:extent cx="8529955" cy="12298680"/>
            <wp:effectExtent l="0" t="0" r="4445" b="7620"/>
            <wp:docPr id="817901450"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7901450" name="图片 6"/>
                    <pic:cNvPicPr>
                      <a:picLocks noChangeAspect="true" noChangeArrowheads="true"/>
                    </pic:cNvPicPr>
                  </pic:nvPicPr>
                  <pic:blipFill>
                    <a:blip r:embed="rId19" cstate="print">
                      <a:extLst>
                        <a:ext uri="{28A0092B-C50C-407E-A947-70E740481C1C}">
                          <a14:useLocalDpi xmlns:a14="http://schemas.microsoft.com/office/drawing/2010/main" val="false"/>
                        </a:ext>
                      </a:extLst>
                    </a:blip>
                    <a:srcRect t="5935"/>
                    <a:stretch>
                      <a:fillRect/>
                    </a:stretch>
                  </pic:blipFill>
                  <pic:spPr>
                    <a:xfrm>
                      <a:off x="0" y="0"/>
                      <a:ext cx="8555185" cy="12335548"/>
                    </a:xfrm>
                    <a:prstGeom prst="rect">
                      <a:avLst/>
                    </a:prstGeom>
                    <a:noFill/>
                    <a:ln>
                      <a:noFill/>
                    </a:ln>
                  </pic:spPr>
                </pic:pic>
              </a:graphicData>
            </a:graphic>
          </wp:inline>
        </w:drawing>
      </w:r>
    </w:p>
    <w:p>
      <w:pPr>
        <w:pStyle w:val="2"/>
      </w:pPr>
      <w:bookmarkStart w:id="208" w:name="_Toc237424207"/>
      <w:r>
        <w:rPr>
          <w:rFonts w:hint="eastAsia"/>
        </w:rPr>
        <w:t>附表1：</w:t>
      </w:r>
      <w:bookmarkEnd w:id="203"/>
      <w:bookmarkEnd w:id="205"/>
      <w:bookmarkEnd w:id="206"/>
      <w:bookmarkEnd w:id="207"/>
      <w:r>
        <w:rPr>
          <w:rFonts w:hint="eastAsia"/>
        </w:rPr>
        <w:t>六盘水市现有加油加气加氢站汇总表</w:t>
      </w:r>
      <w:bookmarkEnd w:id="208"/>
    </w:p>
    <w:tbl>
      <w:tblPr>
        <w:tblStyle w:val="21"/>
        <w:tblW w:w="51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60"/>
        <w:gridCol w:w="3080"/>
        <w:gridCol w:w="2140"/>
        <w:gridCol w:w="614"/>
        <w:gridCol w:w="641"/>
        <w:gridCol w:w="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序号</w:t>
            </w:r>
          </w:p>
        </w:tc>
        <w:tc>
          <w:tcPr>
            <w:tcW w:w="834" w:type="dxa"/>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区县</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站点名称</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站点地址</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充电</w:t>
            </w: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加气</w:t>
            </w:r>
          </w:p>
        </w:tc>
        <w:tc>
          <w:tcPr>
            <w:tcW w:w="587" w:type="dxa"/>
            <w:noWrap/>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加氢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655" w:type="dxa"/>
            <w:gridSpan w:val="2"/>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合计</w:t>
            </w:r>
          </w:p>
        </w:tc>
        <w:tc>
          <w:tcPr>
            <w:tcW w:w="5082" w:type="dxa"/>
            <w:gridSpan w:val="2"/>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235</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45</w:t>
            </w: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9</w:t>
            </w:r>
          </w:p>
        </w:tc>
        <w:tc>
          <w:tcPr>
            <w:tcW w:w="587" w:type="dxa"/>
            <w:noWrap/>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1"/>
                <w:szCs w:val="21"/>
              </w:rPr>
            </w:pPr>
            <w:r>
              <w:rPr>
                <w:rFonts w:hint="eastAsia" w:ascii="仿宋_GB2312" w:hAnsi="宋体" w:cs="仿宋_GB2312"/>
                <w:b/>
                <w:bCs/>
                <w:color w:val="000000"/>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w:t>
            </w:r>
          </w:p>
        </w:tc>
        <w:tc>
          <w:tcPr>
            <w:tcW w:w="834" w:type="dxa"/>
            <w:vMerge w:val="restart"/>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六枝特区(33)</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六枝特区亿杰商贸有限公司六枝环城路加油站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六枝特区塔山街道大道西侧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贵州坤煜经贸有限公司六枝下云盘综合能源站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六枝特区平寨镇河湾村下嘎石前进路东侧</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中石化六枝益正能源有限责任公司六枝木岗工业园区加油站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六枝特区木岗镇纬四路大木路交界处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中石化六枝益正能源有限责任公司六枝环城路加油站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六枝特区银壶街道</w:t>
            </w:r>
            <w:r>
              <w:rPr>
                <w:rFonts w:hint="eastAsia" w:ascii="微软雅黑" w:hAnsi="微软雅黑" w:eastAsia="微软雅黑" w:cs="微软雅黑"/>
                <w:color w:val="000000"/>
                <w:kern w:val="0"/>
                <w:sz w:val="21"/>
                <w:szCs w:val="21"/>
                <w:lang w:bidi="ar"/>
              </w:rPr>
              <w:t>牂牁</w:t>
            </w:r>
            <w:r>
              <w:rPr>
                <w:rFonts w:hint="eastAsia" w:ascii="仿宋_GB2312" w:hAnsi="仿宋_GB2312" w:cs="仿宋_GB2312"/>
                <w:color w:val="000000"/>
                <w:kern w:val="0"/>
                <w:sz w:val="21"/>
                <w:szCs w:val="21"/>
                <w:lang w:bidi="ar"/>
              </w:rPr>
              <w:t>大道西侧</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中石化六枝益正能源有限责任公司六枝营兴加油站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六枝特区九龙街道南环路东段瓦窑小区对面</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中石化六枝益正能源有限责任公司六枝堕却加油站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六枝特区关寨镇堕却村三岔路口供电所旁</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中石化六枝益正能源有限责任公司六枝新窑加油站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六枝特区塔山街道南环路西段塔山社区旁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六枝特区亿杰商贸有限公司中亿石化加油站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六枝特区郎岱镇十里大街北侧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中国石油天然气股份有限公司贵州六盘水销售分公司镇六加油二站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六枝特区镇六高速大用停车区北侧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中国石油天然气股份有限公司贵州六盘水销售分公司镇六加油一站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六枝特区镇六高速大用停车区南侧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六盘水嵩阳商贸有限公司六枝店子加油站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六枝特区那玉村</w:t>
            </w:r>
            <w:r>
              <w:rPr>
                <w:rFonts w:hint="eastAsia" w:ascii="微软雅黑" w:hAnsi="微软雅黑" w:eastAsia="微软雅黑" w:cs="微软雅黑"/>
                <w:color w:val="000000"/>
                <w:kern w:val="0"/>
                <w:sz w:val="21"/>
                <w:szCs w:val="21"/>
                <w:lang w:bidi="ar"/>
              </w:rPr>
              <w:t>牂牁</w:t>
            </w:r>
            <w:r>
              <w:rPr>
                <w:rFonts w:hint="eastAsia" w:ascii="仿宋_GB2312" w:hAnsi="仿宋_GB2312" w:cs="仿宋_GB2312"/>
                <w:color w:val="000000"/>
                <w:kern w:val="0"/>
                <w:sz w:val="21"/>
                <w:szCs w:val="21"/>
                <w:lang w:bidi="ar"/>
              </w:rPr>
              <w:t>大道延长线东南侧紧邻西互通收费站</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六枝梭戛加油站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六枝特区梭戛乡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中国石化销售股份有限公司贵州六盘水六枝石油分公司新郎岱加油二站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六枝特区郎岱镇水黄路K36+700处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中国石化销售股份有限公司贵州六盘水六枝石油分公司新郎岱加油一站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六枝特区郎岱镇水黄路段</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中国石化销售股份有限公司贵州六盘水六枝石油分公司郎岱加油站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六枝特区郎岱镇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中国石化销售股份有限公司贵州六盘水六枝石油分公司岩脚加油站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六枝特区岩脚镇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中国石化销售股份有限公司贵州六盘水六枝石油分公司兴黔加油站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六枝特区新窑乡那玉村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中国石化销售股份有限公司贵州六盘水六枝石油分公司塔山加油站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六枝特区养护段</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中国石化销售股份有限公司贵州六盘水六枝石油分公司落别加油站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六枝特区落别乡</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中国石化销售股份有限公司贵州六盘水六枝石油分公司云盘加油站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六枝特区云桥路</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中国石化销售股份有限公司贵州六盘水六枝石油分公司平寨加油站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六枝特区致富路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贵州交投中石化能源发展有限责任公司纳晴高速雨至务区综合能源一站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六枝特区关寨镇雨至村纳晴高速雨至服务区右幅</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贵州交投中石化能源发展有限责任公司纳晴高速雨至务区综合能源二站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六枝特区关寨镇雨至村纳晴高速雨至服务区左幅</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六枝特区宏图加油站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六枝特区中寨乡岩脚村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贵州省六枝特区盛安石化产品股份合作经营部六枝加油站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六枝特区平寨镇塔山村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贵州省六枝特区盛安石化产品股份合作经营部木岗加油站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六枝特区木岗镇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贵州高投能源开发有限公司岩脚服务区油气电混合站二站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六枝特区六六高速南侧岩脚服务区加油站</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贵州省六枝特区盛安石化产品股份合作经营部龙场加油站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六枝特区龙河镇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六枝特区盛安石化产品股份合作经营部新场加油站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六枝特区新场乡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1"/>
                <w:szCs w:val="21"/>
                <w:lang w:bidi="ar"/>
              </w:rPr>
            </w:pPr>
            <w:r>
              <w:rPr>
                <w:rFonts w:hint="eastAsia" w:ascii="仿宋_GB2312" w:hAnsi="宋体" w:cs="仿宋_GB2312"/>
                <w:color w:val="000000"/>
                <w:kern w:val="0"/>
                <w:sz w:val="21"/>
                <w:szCs w:val="21"/>
                <w:lang w:bidi="ar"/>
              </w:rPr>
              <w:t>30</w:t>
            </w:r>
          </w:p>
          <w:p>
            <w:pPr>
              <w:ind w:firstLine="420"/>
              <w:rPr>
                <w:rFonts w:hint="eastAsia" w:ascii="仿宋_GB2312" w:hAnsi="宋体" w:cs="仿宋_GB2312"/>
                <w:sz w:val="21"/>
                <w:szCs w:val="21"/>
              </w:rPr>
            </w:pP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中国石油天然气股份有限公司贵州六盘水销售分公司华润加油站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六盘水市六枝特区岩脚镇老卜底村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贵州高投能源开发有限公司岩脚服务区油气电混合站一站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六枝特区六六高速北侧岩脚服务区加油站</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六盘水瑞博商贸有限公司六枝岩脚园区加油站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六枝特区岩脚镇老卜底村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六枝特区盛安石化产品股份合作经营部牛场加油网点</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六枝特区牛场乡</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34</w:t>
            </w:r>
          </w:p>
        </w:tc>
        <w:tc>
          <w:tcPr>
            <w:tcW w:w="834" w:type="dxa"/>
            <w:vMerge w:val="restart"/>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盘州市(92)</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中石化盘州市宏财聚能投资有限责任公司松林加油站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盘州市柏果镇洒基铁厂丫口往松河方向600米处</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中国石化销售股份有限公司贵州六盘水石油分公司盘兴高速丹霞服务区加油二站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盘州市丹霞镇盘兴高速丹霞服务区（东）</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中国石化销售股份有限公司贵州六盘水石油分公司盘兴高速丹霞服务区加油一站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盘州市丹霞镇盘兴高速丹霞服务区（西）</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中石化盘州市宏财聚能投资有限责任公司普田加油气站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盘州市普田乡大木桥村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中石化盘州市宏财聚能投资有限责任公司环西加油一站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盘州市红果街道盘西新区西环线200米处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39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中石化盘州市宏财聚能投资有限责任公司双凤加油站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盘州市刘官街道刘官至双凤镇快速通道700米处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中石化盘州市宏财聚能投资有限责任公司水塘加油气站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盘州市丹霞镇水妥线批扎村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中国石化销售股份有限公司贵州六盘水石油分公司盘州市朱家寨加油站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盘州市鸡场坪镇松河社区垤坞</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中国石化销售股份有限公司贵州六盘水石油分公司盘州市双隆加油站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盘州市淤泥彝族乡双龙村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中石化盘州市宏财聚能投资有限责任公司双红二油氢综合能源站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盘州市刘官街道大山丫村五里牌</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中石化盘州市宏财聚能投资有限责任公司翰林环东加油一站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盘州市翰林街道华屯居委会</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盘州裔航加油站有限公司（加油站）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盘州市保田镇盘兴高速保田出口500米处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中海油贵州销售有限公司盘州威红加油站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盘州市亦资街道威红公路旁（下西铺村）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盘州市柏果城西加油站（普通合伙）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盘州市柏果镇柏果村212省道旁</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中国石化销售股份有限公司贵州六盘水石油分公司盘州市双红加油一站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盘州市红果开发区（两河新区）旧铺村盘州大道旁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49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中国石化销售股份有限公司贵州省六盘水市盘州市小松林加油站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盘州市民主镇小白岩村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中国石化销售股份有限公司贵州六盘水石油分公司盘州市银苑加油站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盘州市盘南产业园区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六盘水中南企业管理有限公司盘州华家屯加油站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盘州市翰林街道干沟桥环东线旁</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中国石化销售股份有限公司贵州六盘水盘州市大山镇新桥加油站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盘州市大山镇高山村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盘州市鸡场坪华贵加油站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盘州市鸡场坪镇新村五组首黔大道旁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中石化盘州市宏财聚能投资有限责任公司滑石石露加油站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盘州市鸡场坪镇滑石高速收费站往滑石1.4公里处</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中石化盘州市宏财聚能投资有限责任公司利红油氢综合能源站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盘州市两河街道沙坡居委会竹箐河大桥旁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中石化盘州市宏财聚能投资有限责任公司两河金河加油站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盘州市两河街道水草坪</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中国石油天然气股份有限公司贵州六盘水销售分公司财源加油站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盘州市淤泥乡茨罗多英柏二级公路旁</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中国石油天然气股份有限公司贵州六盘水销售分公司松河加油站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盘州市松河乡歹马村葫芦口</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59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中国石油天然气股份有限公司贵州六盘水销售分公司麒麟加油站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盘州市滑石乡朱家村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中国石油天然气股份有限公司贵州六盘水销售分公司响水恒发加油站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盘州市响水镇阳桥村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中海油贵州销售有限公司盘州市开富加油站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盘州市柏果镇煤坡村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中国石油天然气股份有限公司贵州六盘水销售分公司红果北加油站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两河新区西红公路口（两河街道办）</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中石化盘州市宏财聚能投资有限责任公司保基加油站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盘州市保基乡至羊场X230公路旁</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中石化盘州市宏财聚能投资有限责任公司红资加油站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贵州省盘州市海航片区320国道旁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中石化盘州市宏财聚能投资有限责任公司老厂加油站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盘州市竹海镇上坎者村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盘州市新民加油站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新民镇祭山树村小塘子</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中国石化销售股份有限公司贵州省六盘水市盘州市保田二号加油站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盘州市保田镇盘兴高速保田服务区</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中国石化销售股份有限公司贵州省六盘水市盘州市保田一号加油站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盘兴高速保田服务区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69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中国石化销售股份有限公司贵州省六盘水市盘州市盘北经济开发区工业大道加油站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盘州市鸡场坪镇白龙洞工业大道旁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盘州市大山镇农机加油站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盘州市大山镇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盘州市松河恒通加油站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盘州市鸡场坪镇龙脖子村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盘州市普古顺场坝加油站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盘州市普古顺场坝</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中国石化销售股份有限公司贵州六盘水盘州市彩虹加油站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盘州市淤泥乡落脉穴村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中国石化销售股份有限公司贵州省六盘水市盘州市新民加油站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盘州市新民镇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盘州市普古乡老街加油站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盘州市普古乡普古村六组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盘州市优能隆旺加油站有限公司（加油站）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盘州市石桥镇核桃山村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中国石化销售有限公司盘州市刘官镇农机顺风加油站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盘州市刘官街道刘官村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中国石化销售股份有限公司贵州六盘水石油分公司盘州市沙陀加油站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盘州市红果街道沙陀村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79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贵州盘江煤电多种经营开发有限公司加油站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干沟桥迎旭社区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中国石化销售股份有限公司贵州省六盘水市盘州市大板桥加油站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盘州市盘关镇大白岩村岸半坡七组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中国石化销售股份有限公司贵州省六盘水市盘州市两河加油站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盘州市两河街道办两河村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盘州市五一桥加油站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盘州市柏果镇五一桥业租村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盘州市大山顺丰加油站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盘州市大山镇松山坡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中国石化销售股份有限公司贵州省六盘水市盘州市洒基加油站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盘州市柏果镇洒基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中国石化销售股份有限公司贵州省六盘水盘州市常青山加油站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盘州市双凤镇常青山</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中国石化销售股份有限公司贵州省六盘水市盘州市红山二加油站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盘州市红果街道镇胜高速公路红果服务区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中国石化销售股份有限公司贵州省六盘水市盘州市红山一加油站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盘州市红果街道镇胜高速公路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中国石化销售股份有限公司贵州省六盘水市盘州市盘南第二加油站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盘州市大山镇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89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中国石化销售股份有限公司贵州省六盘水市盘州市大坪地加油站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盘州市旧营乡</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中国石化销售有限公司贵州省六盘水市盘州市红果加油站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盘州市红果镇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盘州市祥</w:t>
            </w:r>
            <w:r>
              <w:rPr>
                <w:rFonts w:hint="eastAsia" w:ascii="微软雅黑" w:hAnsi="微软雅黑" w:eastAsia="微软雅黑" w:cs="微软雅黑"/>
                <w:color w:val="000000"/>
                <w:kern w:val="0"/>
                <w:sz w:val="21"/>
                <w:szCs w:val="21"/>
                <w:lang w:bidi="ar"/>
              </w:rPr>
              <w:t>喆</w:t>
            </w:r>
            <w:r>
              <w:rPr>
                <w:rFonts w:hint="eastAsia" w:ascii="仿宋_GB2312" w:hAnsi="仿宋_GB2312" w:cs="仿宋_GB2312"/>
                <w:color w:val="000000"/>
                <w:kern w:val="0"/>
                <w:sz w:val="21"/>
                <w:szCs w:val="21"/>
                <w:lang w:bidi="ar"/>
              </w:rPr>
              <w:t>加油站有限公司</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六盘水市红果经济开发区翠屏社区月亮山</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中国石化销售股份有限公司贵州省六盘水市盘州市清水加油站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盘州市柏果镇清水</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中国石化销售股份有限公司贵州省六盘水市盘州市官胜二加油站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盘州市刘官街道镇胜高速公路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中国石化销售股份有限公司贵州省六盘水市盘州市官胜一加油站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盘州市刘官街道镇胜高速公路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中国石化销售股份有限公司贵州省六盘水市盘州市成顺加油站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盘州市亦资街道石家庄村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中国石化销售股份有限公司贵州省六盘水市盘州市火铺加油站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盘州市胜境街道火铺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中国石化销售股份有限公司贵州省六盘水市盘州市平关加油站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盘州市胜境街道平关</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中国石化销售股份有限公司贵州六盘水石油分公司盘州市松河加油站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盘州市鸡场坪镇松河英柏公路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99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中国石化销售股份有限公司贵州省六盘水市盘州市坪地加油站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坪地乡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中国石化销售股份有限公司贵州省六盘水市盘州市南门加油站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盘州市双凤镇南门</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中国石化销售股份有限公司贵州省六盘水市盘州市响水加油站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盘州市响水镇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中国石化销售股份有限公司贵州省六盘水盘州市英武加油站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盘州市英武镇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中国石化销售股份有限公司贵州省六盘水市盘州市盘南加油站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盘州市丹霞镇板桥赵官</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中国石化销售股份有限公司贵州六盘水石油分公司水盘高速服务区鸡场坪加油一站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盘州市水盘高速鸡场坪服务区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中国石化销售股份有限公司贵州六盘水石油分公司水盘高速服务区鸡场坪加油二站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盘州市水盘高速鸡场坪服务区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贵州高投能源开发有限公司胜境关综合能源站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盘州市胜境街道盘州市胜境关收费站加油站</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盘州市中州石化加油站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盘州市红果街道中沙村清水河</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盘州市石桥银杏加油站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盘州市石桥镇南冲村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109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中国石化销售股份有限公司贵州省六盘水市盘州市四格加油站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盘州市乌蒙镇街上</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盘州市广源加油站（普通合伙）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盘州市鸡场坪镇坪子村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中国石化销售股份有限公司贵州省六盘水市盘州市柏果吉祥加油站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盘县柏果镇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中国石化销售股份有限公司贵州省六盘水市盘州市保田加油站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盘州市保田镇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贵州省盘州市茶花塘加油站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石桥镇核桃村茶花塘</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盘州市板桥赵官加油站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盘州市丹霞镇赵官</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盘州市马依中伟石化加油站有限公司</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盘州市大山镇坪地村响里平</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盘州市鸡场坪新河加油站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鸡场坪镇新桥边</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中国石化销售股份有限公司贵州省六盘水市盘州市柏果加油站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中国石化销售股份有限公司贵州六盘水市盘州市淤泥朱家寨丹霞加油站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盘州市淤泥乡苏坐村朱家寨</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119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贵州辉</w:t>
            </w:r>
            <w:r>
              <w:rPr>
                <w:rFonts w:hint="eastAsia" w:ascii="微软雅黑" w:hAnsi="微软雅黑" w:eastAsia="微软雅黑" w:cs="微软雅黑"/>
                <w:color w:val="000000"/>
                <w:kern w:val="0"/>
                <w:sz w:val="21"/>
                <w:szCs w:val="21"/>
                <w:lang w:bidi="ar"/>
              </w:rPr>
              <w:t>沵</w:t>
            </w:r>
            <w:r>
              <w:rPr>
                <w:rFonts w:hint="eastAsia" w:ascii="仿宋_GB2312" w:hAnsi="仿宋_GB2312" w:cs="仿宋_GB2312"/>
                <w:color w:val="000000"/>
                <w:kern w:val="0"/>
                <w:sz w:val="21"/>
                <w:szCs w:val="21"/>
                <w:lang w:bidi="ar"/>
              </w:rPr>
              <w:t>商贸有限公司中盘加油站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盘州市两河街道富国路旁旧埔段</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六盘水忠英能源有限责任公司盘州市鸿通综合能源站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盘州市两河街道（两河新区）海铺富国路旁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中国石化销售股份有限公司贵州六盘水石油分公司盘州市碧云加油站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盘州市双凤镇粑粑铺环城快速通道（G246国道）旁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盘州市鸿发加油站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盘州市坪地乡包包寨</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盘州市汇通石化加油站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盘州市盘江镇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中国石化销售股份有限公司贵州省六盘水市盘州市柏果平安加油站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盘州市柏果镇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盘州市羊场加油站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盘州市羊场乡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126</w:t>
            </w:r>
          </w:p>
        </w:tc>
        <w:tc>
          <w:tcPr>
            <w:tcW w:w="834" w:type="dxa"/>
            <w:vMerge w:val="restart"/>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水城区(52)</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六盘水市大德昌华中加油站有限公司</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水城区比德镇布拱村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六盘水市水城区顺场能源开发有限公司顺场综合能源站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水城区顺场苗族布依族乡营盘村大田组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六盘水市水城区新街能源开发有限公司新街综合能源站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水城区新街彝族苗族布依族乡新街村得勒戛组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129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六盘水市水城区鼎安能源开发有限公司果布戛加油站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水城区果布戛彝族苗族布依族乡兴隆村摆泥猓组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六盘水市水城区油捷能源开发有限公司百车河加油站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水城区蟠龙镇百车河社区居民委员会</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六盘水市水城区荣泰能源开发有限公司红桥东路综合能源一站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六盘水市水城区以朵街道红桥东路东侧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贵州高速投资集团有限公司毕都高速都格收费站综合能源一站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水城区都格镇G56杭瑞高速都格停车区（云南方向）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六盘水市水城区驰安能源开发有限公司陡箐加油站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水城区陡箐镇陡箐村后箐组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中国石化销售股份有限公司贵州六盘水石油分公司百车加油站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水城区阿戛镇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六盘水市水城区兰润能源有限公司诚实加油站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水城区猴场苗族布依族乡猴场村二组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六盘水市融盛能源有限公司水城区怡缘加油站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水城区米箩镇倮么村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贵州高速中石化能源有限责任公司陡箐加油贰站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水城至六枝高速公路陡箐服务区（北侧）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贵州高速中石化能源有限责任公司陡箐加油壹站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水城至六枝高速公路陡箐服务区（南侧）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139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中国石化销售股份有限公司贵州六盘水钟山石油分公司双环加油站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水城县双水开发区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中国石化销售股份有限公司贵州六盘水毕都高速加油四站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水城县杭瑞高速毕节至都格段马家营停车区（西侧）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中国石化销售股份有限公司贵州六盘水毕都高速加油三站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水城县杭瑞高速毕节至都格段马家营停车区（东侧）</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中国石油天然气股份有限公司贵州六盘水销售分公司鑫源加油站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水城区双水开发区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中国石油天然气股份有限公司贵州六盘水销售分公司大渡口加油站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水城区发耳镇新龙村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中国石化销售股份有限公司贵州六盘水水城石油分公司发耳服务区加油二站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水城县发耳镇水盘高速路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中国石化销售股份有限公司贵州六盘水水城石油分公司发耳服务区加油一站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水城县发耳镇水盘高速路</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中国石油天然气股份有限公司贵州六盘水销售分公司南城加油站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水城区双水街道钟山东路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中国石化销售股份有限公司贵州六盘水水城石油分公司长海子加油站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水城县玉舍乡长海子道班</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中国石化销售股份有限公司贵州六盘水水城石油分公司勺米加油站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水城县勺米乡</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149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中国石化销售股份有限公司贵州六盘水水城石油分公司发耳煤电加油站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水城县发耳乡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中国石化销售股份有限公司贵州六盘水水城石油分公司发耳加油站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水城县发耳乡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中国石化销售股份有限公司贵州六盘水水城石油分公司杨梅加油站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水城县杨梅乡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中国石化销售股份有限公司贵州六盘水水城石油分公司金野加油站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水城县野钟乡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中国石化销售股份有限公司贵州六盘水水城石油分公司龙城加油站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水城县蟠龙乡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中国石化销售股份有限公司贵州六盘水水城石油分公司陡箐加油站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水城县陡箐乡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中国石油天然气股份有限公司贵州六盘水分公司纸厂加油站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水城区玉舍镇新发村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中国石油天然气股份有限公司贵州六盘水销售分公司凯凯加油站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水城区化乐镇化乐村小坝组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中国石化销售股份有限公司贵州六盘水水城石油分公司滥坝加油站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水城县滥坝镇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中国石化销售股份有限公司贵州六盘水水城石油分公司文阁加油站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水城县老鹰山镇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159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中国石化销售股份有限公司贵州六盘水水城公司董地加油站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水城区董地街道307省道路东，水城区向东学校南侧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中国石化销售股份有限公司贵州六盘水水城石油分公司华沙加油二站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水城县双水沙沟</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中国石化销售股份有限公司贵州六盘水水城石油分公司华沙加油一站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水城县双水沙沟</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中国石油天然气股份有限公司贵州六盘水销售分公司广源加油站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水城区尖山街道法都村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中国石化销售股份有限公司贵州六盘水水城石油分公司华明加油站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水城县滥坝镇明洞村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中国石化销售股份有限公司贵州六盘水水城石油分公司黄家桥加油站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水城县双水开发区</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中国石化销售股份有限公司贵州六盘水水城石油分公司双水加油站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水城县双水新区钟山大道</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水城县长河加油站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水城县顺场乡大发村三家组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中国石化销售股份有限公司贵州六盘水水城石油分公司华玉加油站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水城县玉舍乡</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中国石化销售股份有限公司贵州六盘水石油分公司水城经济开发区水营加油站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水城经济开发区老鹰山片区杭瑞高速以东/开发大道北侧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169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中国石化销售股份有限公司贵州六盘水水城石油分公司塔山加油站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水城县滥坝镇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水城县腾达加油站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水城县龙场乡碗厂村中寨组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水城县恒通加油站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水城县都格镇都格村尾巴组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水城县顺成加油站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水城县阿戛镇温泉村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水城县花戛会银加油站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水城县花戛乡都匀村坪地组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水城县龙营加油站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水城县营盘乡高峰村三家寨组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中国石化销售股份有限公司贵州六盘水水城石油分公司明瑞加油站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水城县双水街道办以朵大道盘</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六盘水华栋瑞源加油站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水城县水城经济开发区一号大道</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中国石化销售股份有限公司贵州六盘水水城石油分公司祥润加油站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水城县双水街道办以朵村四组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178</w:t>
            </w:r>
          </w:p>
        </w:tc>
        <w:tc>
          <w:tcPr>
            <w:tcW w:w="834" w:type="dxa"/>
            <w:vMerge w:val="restart"/>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钟山区(42)</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六盘水晶发商贸有限责任公司（晶发加油站）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钟山区金盆苗族彝族乡营盘村灯塔组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179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贵州六盘水钟产商贸服务有限公司六盘水市水月园区马坝加油站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钟山区月照街道乌蒙大道北侧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六盘水日洋投资有限公司钟山区德丰加油站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钟山区杨柳街道三块田2号桥东南侧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中石化六盘水睿联交通能源发展有限责任公司德坞西客运站油气混合站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钟山区德坞片区马姚路口与人民路交叉口西南侧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六盘水市中民能源投资有限责任公司红旗加油站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钟山区水月片区汪水路西侧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六盘水市天海石油有限公司青园路加油站（租赁经营）</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钟山区红岩街道青园路康乐北路延伸段（汪水路71）</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六盘水市钟山区金利源新加油站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钟山区双戛街道马姚路段</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贵(42)州高速中石化能源有限责任公司六威高速德坞服务区加油贰站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钟山区六威高速公路德坞服务区左幅</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贵州高速中石化能源有限责任公司六威高速德坞服务区加油壹站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钟山区六威高速公路德坞服务区右幅</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六盘水日洋投资有限公司钟山区德坞加油站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六盘水市钟山区德坞片区人民西路北侧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中国石化销售股份有限公司贵州六盘水钟山石油分公司保升加油站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水城县保华乡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189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中国石化销售股份有限公司贵州六盘水钟山石油分公司金果加油站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水城县木果乡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中国石化销售股份有限公司贵州六盘水钟山石油分公司南开加油站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水城县南开乡</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六盘水和顺商贸有限公司二塘加油站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六盘水市钟山区大湾镇</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中国石化销售股份有限公司贵州六盘水钟山石油分公司水矿加油站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钟山区汪水路（市第二看守所旁）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中国石化销售股份有限公司贵州六盘水钟山石油分公司新寨加油站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钟山区大湾镇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中国石化销售股份有限公司贵州六盘水钟山石油分公司钟山加油站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钟山区人民西路140号（钟山区人民政府黄土坡办事处对面）</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中国石化销售股份有限公司贵州六盘水钟山石油分公司荷城加油站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钟山区人民东路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中国石化销售股份有限公司贵州六盘水钟山石油分公司三块田加油站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钟山区荷城办事处三块田村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中国石化销售股份有限公司贵州六盘水钟山石油分公司华运加油站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钟山区水城钢铁集团公司巴西北路安全巷</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中国石化销售股份有限公司贵州六盘水钟山石油分公司荔城加油站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钟山区人民东路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199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中国石化销售股份有限公司贵州六盘水钟山石油分公司凤凰加油站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钟山区南环路</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中国石化销售股份有限公司贵州六盘水钟山石油分公司金马加油站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钟山区双嘎乡姚家营村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中国石化销售股份有限公司贵州六盘水钟山石油分公司交通加油站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钟山区南环路南门口</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中国石化销售股份有限公司贵州六盘水钟山石油分公司九洞桥加油站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钟山区人民东路延伸段杨柳变电站旁</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中国石化销售股份有限公司贵州六盘水钟山石油分公司荷池加油站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钟山区钟山东路凤池园对面</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中国石化销售股份有限公司贵州六盘水钟山石油分公司华松加油站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钟山区凤凰新区南编组站</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中国石化销售股份有限公司贵州六盘水钟山石油分公司华源集加油站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钟山区南环路市一中左侧</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中国石油天然气股份有限公司贵州销售分公司新生加油站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钟山区老供电局前新生村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中国石油天然气股份有限公司贵州六盘水销售分公司闽宏加油站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钟山区水月片区水小路东侧水泥厂路口北侧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中国石化销售股份有限公司贵州六盘水钟山石油分公司大河加油站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钟山区大河镇</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209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中国石油天然气股份有限公司贵州销售分公司耀华加油站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钟山区人民中路官厅路严家湾</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中国石化销售股份有限公司贵州六盘水钟山石油分公司清碧加油站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钟山区德坞片区凉都大道西段北侧、白鹤路以西</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中国石化销售股份有限公司贵州六盘水钟山石油分公司德新加油站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钟山区德坞镇新区内</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中国石化销售股份有限公司贵州六盘水石油分公司钟红加油站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钟山区南环路西段南侧（内环快线西宁段）</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中国石化销售股份有限公司贵州六盘水钟山石油分公司鑫鸿加油站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钟山区凉都大道东段南侧（凤凰）</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中国石油天然气股份有限公司贵州销售分公司厚源加油站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六盘水市钟山区明湖路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六盘水昌宇商贸有限公司汪家寨加油站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六盘水市钟山区汪家寨镇沙坝场</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六盘水市钟山区嘉辰加油站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钟山区大湾镇开化社区4组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六盘水市钟山区鹄运加油站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钟山区德坞街道大坪子片区天湖景观大道西南侧（钟山区2022-SJ-01号）</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中国石化销售股份有限公司贵州六盘水钟山石油分公司旺水加油站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钟山区大河镇裕民村</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219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六盘水万昌贸易有限公司麒麟加油站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六盘水市钟山区人民路中段1083号</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220</w:t>
            </w:r>
          </w:p>
        </w:tc>
        <w:tc>
          <w:tcPr>
            <w:tcW w:w="834" w:type="dxa"/>
            <w:vMerge w:val="restart"/>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高新区(14)</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中国石化销售股份有限公司贵州六盘水石油分公司石园加油站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高新开发区石桥社区红桥路西出口南侧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中国石油天然气股份有限公司贵州六盘水销售分公司高新北加油站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高新区凤凉路南侧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中国石化销售股份有限公司贵州六盘水石油分公司红山加油二站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高新区红山大道东段北侧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中国石化销售股份有限公司贵州六盘水石油分公司红山加油一站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高新区红山大道东段南侧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224</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金贝加油加气站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钟山经济开发区（红桥新区）凉都大道东段北侧</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225</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中国石化销售股份有限公司贵州六盘水钟山石油分公司华龙加油加气站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钟山经济开发区（红桥新区）凉都大道东段南侧98号</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226</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中国石油天然气股份有限公司贵州六盘水销售分公司城东加油二站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钟山经济开发区红桥新区严家寨村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227</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中国石油天然气股份有限公司贵州六盘水销售分公司城东加油一站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钟山经济开发区红桥新区严家寨村</w:t>
            </w:r>
          </w:p>
        </w:tc>
        <w:tc>
          <w:tcPr>
            <w:tcW w:w="598"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228</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中国石油天然气股份有限公司贵州六盘水销售分公司红桥西二号加油站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钟山经济开发区（红桥新区）石桥三路</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229</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中国石油天然气股份有限公司贵州六盘水销售分公司红桥西一号加油站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钟山经济开发区红桥新区双龙六组（红桥大道北段）</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230</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中国石油天然气股份有限公司贵州六盘水销售分公司红桥中心加油二站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钟山经济开发区红桥新区红桥东路43号</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231</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中国石油天然气股份有限公司贵州六盘水销售分公司毕都加油二站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钟山经济开发区毕都高速南侧六盘水服务区内</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232</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中国石油天然气股份有限公司贵州六盘水销售分公司毕都加油一站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钟山经济开发区毕都高速北侧六盘水服务区内</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233</w:t>
            </w:r>
          </w:p>
        </w:tc>
        <w:tc>
          <w:tcPr>
            <w:tcW w:w="834" w:type="dxa"/>
            <w:vMerge w:val="continue"/>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六盘水市天海石油有限公司南客运站加油站（租赁经营）</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高新开发区双龙大道与红园路交叉处</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snapToGrid w:val="0"/>
              <w:spacing w:line="320" w:lineRule="exact"/>
              <w:ind w:firstLine="0" w:firstLineChars="0"/>
              <w:jc w:val="center"/>
              <w:rPr>
                <w:rFonts w:hint="eastAsia" w:ascii="宋体" w:hAnsi="宋体" w:eastAsia="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234</w:t>
            </w:r>
          </w:p>
        </w:tc>
        <w:tc>
          <w:tcPr>
            <w:tcW w:w="83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贵州美锦华宇综合能源岛项目</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六枝特区西互通延伸线与230县道交叉口西北280米</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587"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235</w:t>
            </w:r>
          </w:p>
        </w:tc>
        <w:tc>
          <w:tcPr>
            <w:tcW w:w="83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钟山区</w:t>
            </w:r>
          </w:p>
        </w:tc>
        <w:tc>
          <w:tcPr>
            <w:tcW w:w="2999"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中国石油天然气股份有限公司贵州六盘水销售分公司德坞加气站</w:t>
            </w:r>
          </w:p>
        </w:tc>
        <w:tc>
          <w:tcPr>
            <w:tcW w:w="2083" w:type="dxa"/>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贵州省六盘水市钟山区德坞片区人民西路延伸段与学院路交叉口北侧</w:t>
            </w:r>
          </w:p>
        </w:tc>
        <w:tc>
          <w:tcPr>
            <w:tcW w:w="598"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c>
          <w:tcPr>
            <w:tcW w:w="624" w:type="dxa"/>
            <w:noWrap/>
            <w:vAlign w:val="center"/>
          </w:tcPr>
          <w:p>
            <w:pPr>
              <w:widowControl/>
              <w:snapToGrid w:val="0"/>
              <w:spacing w:line="320" w:lineRule="exact"/>
              <w:ind w:firstLine="0" w:firstLineChars="0"/>
              <w:jc w:val="center"/>
              <w:textAlignment w:val="center"/>
              <w:rPr>
                <w:rFonts w:hint="eastAsia" w:ascii="仿宋_GB2312" w:hAnsi="宋体" w:cs="仿宋_GB2312"/>
                <w:color w:val="000000"/>
                <w:sz w:val="21"/>
                <w:szCs w:val="21"/>
              </w:rPr>
            </w:pPr>
            <w:r>
              <w:rPr>
                <w:rFonts w:hint="eastAsia" w:ascii="仿宋_GB2312" w:hAnsi="宋体" w:cs="仿宋_GB2312"/>
                <w:color w:val="000000"/>
                <w:kern w:val="0"/>
                <w:sz w:val="21"/>
                <w:szCs w:val="21"/>
                <w:lang w:bidi="ar"/>
              </w:rPr>
              <w:t>是</w:t>
            </w:r>
          </w:p>
        </w:tc>
        <w:tc>
          <w:tcPr>
            <w:tcW w:w="587" w:type="dxa"/>
            <w:noWrap/>
            <w:vAlign w:val="center"/>
          </w:tcPr>
          <w:p>
            <w:pPr>
              <w:snapToGrid w:val="0"/>
              <w:spacing w:line="320" w:lineRule="exact"/>
              <w:ind w:firstLine="0" w:firstLineChars="0"/>
              <w:jc w:val="center"/>
              <w:rPr>
                <w:rFonts w:hint="eastAsia" w:ascii="仿宋_GB2312" w:hAnsi="宋体" w:cs="仿宋_GB2312"/>
                <w:color w:val="000000"/>
                <w:sz w:val="21"/>
                <w:szCs w:val="21"/>
              </w:rPr>
            </w:pPr>
          </w:p>
        </w:tc>
      </w:tr>
    </w:tbl>
    <w:p>
      <w:pPr>
        <w:ind w:firstLine="640"/>
      </w:pPr>
    </w:p>
    <w:p>
      <w:pPr>
        <w:pStyle w:val="2"/>
      </w:pPr>
      <w:bookmarkStart w:id="209" w:name="_Toc228174671"/>
      <w:bookmarkStart w:id="210" w:name="_Toc29954"/>
      <w:bookmarkStart w:id="211" w:name="_Toc5500"/>
      <w:bookmarkStart w:id="212" w:name="_Toc22837"/>
      <w:bookmarkStart w:id="213" w:name="_Toc237424208"/>
      <w:r>
        <w:rPr>
          <w:rFonts w:hint="eastAsia"/>
        </w:rPr>
        <w:t>附表2：</w:t>
      </w:r>
      <w:bookmarkEnd w:id="209"/>
      <w:bookmarkEnd w:id="210"/>
      <w:bookmarkEnd w:id="211"/>
      <w:bookmarkEnd w:id="212"/>
      <w:r>
        <w:rPr>
          <w:rFonts w:hint="eastAsia"/>
        </w:rPr>
        <w:t>截止目前已批</w:t>
      </w:r>
      <w:r>
        <w:rPr>
          <w:rFonts w:hint="eastAsia"/>
          <w:lang w:eastAsia="zh-CN"/>
        </w:rPr>
        <w:t>“</w:t>
      </w:r>
      <w:r>
        <w:rPr>
          <w:rFonts w:hint="eastAsia"/>
        </w:rPr>
        <w:t>规划确认</w:t>
      </w:r>
      <w:r>
        <w:rPr>
          <w:rFonts w:hint="eastAsia"/>
          <w:lang w:eastAsia="zh-CN"/>
        </w:rPr>
        <w:t>”</w:t>
      </w:r>
      <w:r>
        <w:rPr>
          <w:rFonts w:hint="eastAsia"/>
        </w:rPr>
        <w:t>在建加油站清单</w:t>
      </w:r>
      <w:bookmarkEnd w:id="213"/>
    </w:p>
    <w:tbl>
      <w:tblPr>
        <w:tblStyle w:val="21"/>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1231"/>
        <w:gridCol w:w="1368"/>
        <w:gridCol w:w="1837"/>
        <w:gridCol w:w="1500"/>
        <w:gridCol w:w="2448"/>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序号</w:t>
            </w:r>
          </w:p>
        </w:tc>
        <w:tc>
          <w:tcPr>
            <w:tcW w:w="1231" w:type="dxa"/>
            <w:vAlign w:val="center"/>
          </w:tcPr>
          <w:p>
            <w:pPr>
              <w:widowControl/>
              <w:spacing w:line="36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区县</w:t>
            </w:r>
          </w:p>
        </w:tc>
        <w:tc>
          <w:tcPr>
            <w:tcW w:w="1368" w:type="dxa"/>
            <w:vAlign w:val="center"/>
          </w:tcPr>
          <w:p>
            <w:pPr>
              <w:widowControl/>
              <w:spacing w:line="36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站点名称</w:t>
            </w:r>
          </w:p>
        </w:tc>
        <w:tc>
          <w:tcPr>
            <w:tcW w:w="1837" w:type="dxa"/>
            <w:vAlign w:val="center"/>
          </w:tcPr>
          <w:p>
            <w:pPr>
              <w:widowControl/>
              <w:spacing w:line="36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eastAsia="zh-CN" w:bidi="ar"/>
              </w:rPr>
              <w:t>“</w:t>
            </w:r>
            <w:r>
              <w:rPr>
                <w:rFonts w:hint="eastAsia" w:ascii="仿宋_GB2312" w:hAnsi="宋体" w:cs="仿宋_GB2312"/>
                <w:b/>
                <w:bCs/>
                <w:color w:val="000000"/>
                <w:kern w:val="0"/>
                <w:sz w:val="24"/>
                <w:szCs w:val="24"/>
                <w:lang w:bidi="ar"/>
              </w:rPr>
              <w:t>规划确认</w:t>
            </w:r>
            <w:r>
              <w:rPr>
                <w:rFonts w:hint="eastAsia" w:ascii="仿宋_GB2312" w:hAnsi="宋体" w:cs="仿宋_GB2312"/>
                <w:b/>
                <w:bCs/>
                <w:color w:val="000000"/>
                <w:kern w:val="0"/>
                <w:sz w:val="24"/>
                <w:szCs w:val="24"/>
                <w:lang w:eastAsia="zh-CN" w:bidi="ar"/>
              </w:rPr>
              <w:t>”</w:t>
            </w:r>
            <w:r>
              <w:rPr>
                <w:rFonts w:hint="eastAsia" w:ascii="仿宋_GB2312" w:hAnsi="宋体" w:cs="仿宋_GB2312"/>
                <w:b/>
                <w:bCs/>
                <w:color w:val="000000"/>
                <w:kern w:val="0"/>
                <w:sz w:val="24"/>
                <w:szCs w:val="24"/>
                <w:lang w:bidi="ar"/>
              </w:rPr>
              <w:t>建设位置</w:t>
            </w:r>
          </w:p>
        </w:tc>
        <w:tc>
          <w:tcPr>
            <w:tcW w:w="1500" w:type="dxa"/>
            <w:vAlign w:val="center"/>
          </w:tcPr>
          <w:p>
            <w:pPr>
              <w:widowControl/>
              <w:spacing w:line="36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批复文号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截止目前建设情况</w:t>
            </w:r>
          </w:p>
        </w:tc>
        <w:tc>
          <w:tcPr>
            <w:tcW w:w="860" w:type="dxa"/>
            <w:vAlign w:val="center"/>
          </w:tcPr>
          <w:p>
            <w:pPr>
              <w:widowControl/>
              <w:spacing w:line="36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1</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南二环综合能源站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六枝特区九龙社区茶山村城南大道</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2025</w:t>
            </w:r>
            <w:r>
              <w:rPr>
                <w:rFonts w:hint="eastAsia" w:ascii="仿宋_GB2312" w:hAnsi="宋体" w:cs="仿宋_GB2312"/>
                <w:color w:val="000000"/>
                <w:kern w:val="0"/>
                <w:sz w:val="24"/>
                <w:szCs w:val="24"/>
                <w:lang w:bidi="ar"/>
              </w:rPr>
              <w:t>〕</w:t>
            </w:r>
            <w:r>
              <w:rPr>
                <w:rFonts w:cs="Times New Roman"/>
                <w:color w:val="000000"/>
                <w:kern w:val="0"/>
                <w:sz w:val="24"/>
                <w:szCs w:val="24"/>
                <w:lang w:bidi="ar"/>
              </w:rPr>
              <w:t>15</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站房、边坡等基础建设完毕，油罐已要求按装。</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2</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胜境关综合能源站二站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沪昆高速（镇胜段）胜境关服务区（贵阳方向）</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2025</w:t>
            </w:r>
            <w:r>
              <w:rPr>
                <w:rFonts w:hint="eastAsia" w:ascii="仿宋_GB2312" w:hAnsi="宋体" w:cs="仿宋_GB2312"/>
                <w:color w:val="000000"/>
                <w:kern w:val="0"/>
                <w:sz w:val="24"/>
                <w:szCs w:val="24"/>
                <w:lang w:bidi="ar"/>
              </w:rPr>
              <w:t>〕</w:t>
            </w:r>
            <w:r>
              <w:rPr>
                <w:rFonts w:cs="Times New Roman"/>
                <w:color w:val="000000"/>
                <w:kern w:val="0"/>
                <w:sz w:val="24"/>
                <w:szCs w:val="24"/>
                <w:lang w:bidi="ar"/>
              </w:rPr>
              <w:t>3</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未建。</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3</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哒啦综合能源站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贵州红果经济开发区</w:t>
            </w:r>
            <w:r>
              <w:rPr>
                <w:rFonts w:cs="Times New Roman"/>
                <w:color w:val="000000"/>
                <w:kern w:val="0"/>
                <w:sz w:val="24"/>
                <w:szCs w:val="24"/>
                <w:lang w:bidi="ar"/>
              </w:rPr>
              <w:t>S212</w:t>
            </w:r>
            <w:r>
              <w:rPr>
                <w:rFonts w:hint="eastAsia" w:ascii="仿宋_GB2312" w:hAnsi="宋体" w:cs="仿宋_GB2312"/>
                <w:color w:val="000000"/>
                <w:kern w:val="0"/>
                <w:sz w:val="24"/>
                <w:szCs w:val="24"/>
                <w:lang w:bidi="ar"/>
              </w:rPr>
              <w:t>省道盘龙驾校旁</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2025</w:t>
            </w:r>
            <w:r>
              <w:rPr>
                <w:rFonts w:hint="eastAsia" w:ascii="仿宋_GB2312" w:hAnsi="宋体" w:cs="仿宋_GB2312"/>
                <w:color w:val="000000"/>
                <w:kern w:val="0"/>
                <w:sz w:val="24"/>
                <w:szCs w:val="24"/>
                <w:lang w:bidi="ar"/>
              </w:rPr>
              <w:t>〕</w:t>
            </w:r>
            <w:r>
              <w:rPr>
                <w:rFonts w:cs="Times New Roman"/>
                <w:color w:val="000000"/>
                <w:kern w:val="0"/>
                <w:sz w:val="24"/>
                <w:szCs w:val="24"/>
                <w:lang w:bidi="ar"/>
              </w:rPr>
              <w:t>7</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施工许可证没办下来，未建。</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4</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尖山综合能源站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老鹰山片区规划老鹰山主七路东侧，贵州水城经济开发区</w:t>
            </w:r>
            <w:r>
              <w:rPr>
                <w:rFonts w:cs="Times New Roman"/>
                <w:color w:val="000000"/>
                <w:kern w:val="0"/>
                <w:sz w:val="24"/>
                <w:szCs w:val="24"/>
                <w:lang w:bidi="ar"/>
              </w:rPr>
              <w:t>G356</w:t>
            </w:r>
            <w:r>
              <w:rPr>
                <w:rFonts w:hint="eastAsia" w:ascii="仿宋_GB2312" w:hAnsi="宋体" w:cs="仿宋_GB2312"/>
                <w:color w:val="000000"/>
                <w:kern w:val="0"/>
                <w:sz w:val="24"/>
                <w:szCs w:val="24"/>
                <w:lang w:bidi="ar"/>
              </w:rPr>
              <w:t>线</w:t>
            </w:r>
            <w:r>
              <w:rPr>
                <w:rFonts w:cs="Times New Roman"/>
                <w:color w:val="000000"/>
                <w:kern w:val="0"/>
                <w:sz w:val="24"/>
                <w:szCs w:val="24"/>
                <w:lang w:bidi="ar"/>
              </w:rPr>
              <w:t>K238+200</w:t>
            </w:r>
            <w:r>
              <w:rPr>
                <w:rFonts w:hint="eastAsia" w:ascii="仿宋_GB2312" w:hAnsi="宋体" w:cs="仿宋_GB2312"/>
                <w:color w:val="000000"/>
                <w:kern w:val="0"/>
                <w:sz w:val="24"/>
                <w:szCs w:val="24"/>
                <w:lang w:bidi="ar"/>
              </w:rPr>
              <w:t>米处</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2025</w:t>
            </w:r>
            <w:r>
              <w:rPr>
                <w:rFonts w:hint="eastAsia" w:ascii="仿宋_GB2312" w:hAnsi="宋体" w:cs="仿宋_GB2312"/>
                <w:color w:val="000000"/>
                <w:kern w:val="0"/>
                <w:sz w:val="24"/>
                <w:szCs w:val="24"/>
                <w:lang w:bidi="ar"/>
              </w:rPr>
              <w:t>〕</w:t>
            </w:r>
            <w:r>
              <w:rPr>
                <w:rFonts w:cs="Times New Roman"/>
                <w:color w:val="000000"/>
                <w:kern w:val="0"/>
                <w:sz w:val="24"/>
                <w:szCs w:val="24"/>
                <w:lang w:bidi="ar"/>
              </w:rPr>
              <w:t>4</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已取得土地不动产权证书、用地规划许可证，并已做场平，预计</w:t>
            </w:r>
            <w:r>
              <w:rPr>
                <w:rFonts w:cs="Times New Roman"/>
                <w:color w:val="000000"/>
                <w:kern w:val="0"/>
                <w:sz w:val="24"/>
                <w:szCs w:val="24"/>
                <w:lang w:bidi="ar"/>
              </w:rPr>
              <w:t>2026</w:t>
            </w:r>
            <w:r>
              <w:rPr>
                <w:rFonts w:hint="eastAsia" w:ascii="仿宋_GB2312" w:hAnsi="宋体" w:cs="仿宋_GB2312"/>
                <w:color w:val="000000"/>
                <w:kern w:val="0"/>
                <w:sz w:val="24"/>
                <w:szCs w:val="24"/>
                <w:lang w:bidi="ar"/>
              </w:rPr>
              <w:t>年</w:t>
            </w:r>
            <w:r>
              <w:rPr>
                <w:rFonts w:cs="Times New Roman"/>
                <w:color w:val="000000"/>
                <w:kern w:val="0"/>
                <w:sz w:val="24"/>
                <w:szCs w:val="24"/>
                <w:lang w:bidi="ar"/>
              </w:rPr>
              <w:t>7</w:t>
            </w:r>
            <w:r>
              <w:rPr>
                <w:rFonts w:hint="eastAsia" w:ascii="仿宋_GB2312" w:hAnsi="宋体" w:cs="仿宋_GB2312"/>
                <w:color w:val="000000"/>
                <w:kern w:val="0"/>
                <w:sz w:val="24"/>
                <w:szCs w:val="24"/>
                <w:lang w:bidi="ar"/>
              </w:rPr>
              <w:t>月完善相关手续后进场实施主体建设。</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5</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和平综合能源站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人民东路和平路侧面（市一中斜对面）</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2025</w:t>
            </w:r>
            <w:r>
              <w:rPr>
                <w:rFonts w:hint="eastAsia" w:ascii="仿宋_GB2312" w:hAnsi="宋体" w:cs="仿宋_GB2312"/>
                <w:color w:val="000000"/>
                <w:kern w:val="0"/>
                <w:sz w:val="24"/>
                <w:szCs w:val="24"/>
                <w:lang w:bidi="ar"/>
              </w:rPr>
              <w:t>〕</w:t>
            </w:r>
            <w:r>
              <w:rPr>
                <w:rFonts w:cs="Times New Roman"/>
                <w:color w:val="000000"/>
                <w:kern w:val="0"/>
                <w:sz w:val="24"/>
                <w:szCs w:val="24"/>
                <w:lang w:bidi="ar"/>
              </w:rPr>
              <w:t>10</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贵州运道商贸有限公司已签订土地出让合同。</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6</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比德镇综合能源站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比德镇中心村</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w:t>
            </w:r>
            <w:r>
              <w:rPr>
                <w:rFonts w:hint="eastAsia" w:cs="Times New Roman"/>
                <w:color w:val="000000"/>
                <w:kern w:val="0"/>
                <w:sz w:val="24"/>
                <w:szCs w:val="24"/>
                <w:lang w:bidi="ar"/>
              </w:rPr>
              <w:t>4</w:t>
            </w:r>
            <w:r>
              <w:rPr>
                <w:rFonts w:hint="eastAsia" w:ascii="仿宋_GB2312" w:hAnsi="宋体" w:cs="仿宋_GB2312"/>
                <w:color w:val="000000"/>
                <w:kern w:val="0"/>
                <w:sz w:val="24"/>
                <w:szCs w:val="24"/>
                <w:lang w:bidi="ar"/>
              </w:rPr>
              <w:t>〕</w:t>
            </w:r>
            <w:r>
              <w:rPr>
                <w:rFonts w:cs="Times New Roman"/>
                <w:color w:val="000000"/>
                <w:kern w:val="0"/>
                <w:sz w:val="24"/>
                <w:szCs w:val="24"/>
                <w:lang w:bidi="ar"/>
              </w:rPr>
              <w:t>2</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已取得土地不动产权证书、用地规划许可、工程规划许可、省质监站审图合格证、施工许可证。正开展场平工作。</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7</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董地综合能源一站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水城区董地街道双巢社区水城至纳雍公路旁（距离水城经开区收费站约</w:t>
            </w:r>
            <w:r>
              <w:rPr>
                <w:rFonts w:cs="Times New Roman"/>
                <w:color w:val="000000"/>
                <w:kern w:val="0"/>
                <w:sz w:val="24"/>
                <w:szCs w:val="24"/>
                <w:lang w:bidi="ar"/>
              </w:rPr>
              <w:t>400</w:t>
            </w:r>
            <w:r>
              <w:rPr>
                <w:rFonts w:hint="eastAsia" w:ascii="仿宋_GB2312" w:hAnsi="宋体" w:cs="仿宋_GB2312"/>
                <w:color w:val="000000"/>
                <w:kern w:val="0"/>
                <w:sz w:val="24"/>
                <w:szCs w:val="24"/>
                <w:lang w:bidi="ar"/>
              </w:rPr>
              <w:t>米）</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2023</w:t>
            </w:r>
            <w:r>
              <w:rPr>
                <w:rFonts w:hint="eastAsia" w:ascii="仿宋_GB2312" w:hAnsi="宋体" w:cs="仿宋_GB2312"/>
                <w:color w:val="000000"/>
                <w:kern w:val="0"/>
                <w:sz w:val="24"/>
                <w:szCs w:val="24"/>
                <w:lang w:bidi="ar"/>
              </w:rPr>
              <w:t>〕</w:t>
            </w:r>
            <w:r>
              <w:rPr>
                <w:rFonts w:cs="Times New Roman"/>
                <w:color w:val="000000"/>
                <w:kern w:val="0"/>
                <w:sz w:val="24"/>
                <w:szCs w:val="24"/>
                <w:lang w:bidi="ar"/>
              </w:rPr>
              <w:t>13</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已取得了土地不动产权证书、用地规划许可、工程规划许可、施工许可证。已进场开展主体建设工作。</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8</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冷坝综合能源站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水城区陡箐镇冷坝</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2023</w:t>
            </w:r>
            <w:r>
              <w:rPr>
                <w:rFonts w:hint="eastAsia" w:ascii="仿宋_GB2312" w:hAnsi="宋体" w:cs="仿宋_GB2312"/>
                <w:color w:val="000000"/>
                <w:kern w:val="0"/>
                <w:sz w:val="24"/>
                <w:szCs w:val="24"/>
                <w:lang w:bidi="ar"/>
              </w:rPr>
              <w:t>〕</w:t>
            </w:r>
            <w:r>
              <w:rPr>
                <w:rFonts w:cs="Times New Roman"/>
                <w:color w:val="000000"/>
                <w:kern w:val="0"/>
                <w:sz w:val="24"/>
                <w:szCs w:val="24"/>
                <w:lang w:bidi="ar"/>
              </w:rPr>
              <w:t>3</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已取得土地不动产权证书、充电桩备案，正编制充电站设计方案。</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充电、汽油、柴油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9</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龙场综合能源站</w:t>
            </w:r>
            <w:r>
              <w:rPr>
                <w:rFonts w:cs="Times New Roman"/>
                <w:color w:val="000000"/>
                <w:kern w:val="0"/>
                <w:sz w:val="24"/>
                <w:szCs w:val="24"/>
                <w:lang w:bidi="ar"/>
              </w:rPr>
              <w:t>(</w:t>
            </w:r>
            <w:r>
              <w:rPr>
                <w:rFonts w:hint="eastAsia" w:ascii="仿宋_GB2312" w:hAnsi="宋体" w:cs="仿宋_GB2312"/>
                <w:color w:val="000000"/>
                <w:kern w:val="0"/>
                <w:sz w:val="24"/>
                <w:szCs w:val="24"/>
                <w:lang w:bidi="ar"/>
              </w:rPr>
              <w:t>南部园区综合能源站）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水城区龙场乡白族小镇内</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w:t>
            </w:r>
            <w:r>
              <w:rPr>
                <w:rFonts w:hint="eastAsia" w:cs="Times New Roman"/>
                <w:color w:val="000000"/>
                <w:kern w:val="0"/>
                <w:sz w:val="24"/>
                <w:szCs w:val="24"/>
                <w:lang w:bidi="ar"/>
              </w:rPr>
              <w:t>4</w:t>
            </w:r>
            <w:r>
              <w:rPr>
                <w:rFonts w:hint="eastAsia" w:ascii="仿宋_GB2312" w:hAnsi="宋体" w:cs="仿宋_GB2312"/>
                <w:color w:val="000000"/>
                <w:kern w:val="0"/>
                <w:sz w:val="24"/>
                <w:szCs w:val="24"/>
                <w:lang w:bidi="ar"/>
              </w:rPr>
              <w:t>〕</w:t>
            </w:r>
            <w:r>
              <w:rPr>
                <w:rFonts w:cs="Times New Roman"/>
                <w:color w:val="000000"/>
                <w:kern w:val="0"/>
                <w:sz w:val="24"/>
                <w:szCs w:val="24"/>
                <w:lang w:bidi="ar"/>
              </w:rPr>
              <w:t>2</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已取得土地不动产权证书、用地规划许可、工程规划许可、省质监站审图合格证、施工许可证。正开展场平工作。</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10</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坪寨综合能源站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水城区玉舍</w:t>
            </w:r>
            <w:r>
              <w:rPr>
                <w:rFonts w:cs="Times New Roman"/>
                <w:color w:val="000000"/>
                <w:kern w:val="0"/>
                <w:sz w:val="24"/>
                <w:szCs w:val="24"/>
                <w:lang w:bidi="ar"/>
              </w:rPr>
              <w:t>-</w:t>
            </w:r>
            <w:r>
              <w:rPr>
                <w:rFonts w:hint="eastAsia" w:ascii="仿宋_GB2312" w:hAnsi="宋体" w:cs="仿宋_GB2312"/>
                <w:color w:val="000000"/>
                <w:kern w:val="0"/>
                <w:sz w:val="24"/>
                <w:szCs w:val="24"/>
                <w:lang w:bidi="ar"/>
              </w:rPr>
              <w:t>坪地公路坪寨段</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w:t>
            </w:r>
            <w:r>
              <w:rPr>
                <w:rFonts w:hint="eastAsia" w:cs="Times New Roman"/>
                <w:color w:val="000000"/>
                <w:kern w:val="0"/>
                <w:sz w:val="24"/>
                <w:szCs w:val="24"/>
                <w:lang w:bidi="ar"/>
              </w:rPr>
              <w:t>4</w:t>
            </w:r>
            <w:r>
              <w:rPr>
                <w:rFonts w:hint="eastAsia" w:ascii="仿宋_GB2312" w:hAnsi="宋体" w:cs="仿宋_GB2312"/>
                <w:color w:val="000000"/>
                <w:kern w:val="0"/>
                <w:sz w:val="24"/>
                <w:szCs w:val="24"/>
                <w:lang w:bidi="ar"/>
              </w:rPr>
              <w:t>〕</w:t>
            </w:r>
            <w:r>
              <w:rPr>
                <w:rFonts w:cs="Times New Roman"/>
                <w:color w:val="000000"/>
                <w:kern w:val="0"/>
                <w:sz w:val="24"/>
                <w:szCs w:val="24"/>
                <w:lang w:bidi="ar"/>
              </w:rPr>
              <w:t>2</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已取得土地不动产权证书、用地规划许可、建设工程规划许可及施工许可证，主体建设基本完成，正在推进验收工作。</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11</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发耳发扬综合能源站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水城区发耳镇营昌社区赵家坝组</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2023</w:t>
            </w:r>
            <w:r>
              <w:rPr>
                <w:rFonts w:hint="eastAsia" w:ascii="仿宋_GB2312" w:hAnsi="宋体" w:cs="仿宋_GB2312"/>
                <w:color w:val="000000"/>
                <w:kern w:val="0"/>
                <w:sz w:val="24"/>
                <w:szCs w:val="24"/>
                <w:lang w:bidi="ar"/>
              </w:rPr>
              <w:t>〕</w:t>
            </w:r>
            <w:r>
              <w:rPr>
                <w:rFonts w:cs="Times New Roman"/>
                <w:color w:val="000000"/>
                <w:kern w:val="0"/>
                <w:sz w:val="24"/>
                <w:szCs w:val="24"/>
                <w:lang w:bidi="ar"/>
              </w:rPr>
              <w:t>13</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已取得土地不动产权证书、用地规划许可及建设工程规划许可；地质勘察工作已完成，施工图设计已完成，正在进行施工图审查，预计</w:t>
            </w:r>
            <w:r>
              <w:rPr>
                <w:rFonts w:cs="Times New Roman"/>
                <w:color w:val="000000"/>
                <w:kern w:val="0"/>
                <w:sz w:val="24"/>
                <w:szCs w:val="24"/>
                <w:lang w:bidi="ar"/>
              </w:rPr>
              <w:t>12</w:t>
            </w:r>
            <w:r>
              <w:rPr>
                <w:rFonts w:hint="eastAsia" w:ascii="仿宋_GB2312" w:hAnsi="宋体" w:cs="仿宋_GB2312"/>
                <w:color w:val="000000"/>
                <w:kern w:val="0"/>
                <w:sz w:val="24"/>
                <w:szCs w:val="24"/>
                <w:lang w:bidi="ar"/>
              </w:rPr>
              <w:t>月</w:t>
            </w:r>
            <w:r>
              <w:rPr>
                <w:rFonts w:cs="Times New Roman"/>
                <w:color w:val="000000"/>
                <w:kern w:val="0"/>
                <w:sz w:val="24"/>
                <w:szCs w:val="24"/>
                <w:lang w:bidi="ar"/>
              </w:rPr>
              <w:t>22</w:t>
            </w:r>
            <w:r>
              <w:rPr>
                <w:rFonts w:hint="eastAsia" w:ascii="仿宋_GB2312" w:hAnsi="宋体" w:cs="仿宋_GB2312"/>
                <w:color w:val="000000"/>
                <w:kern w:val="0"/>
                <w:sz w:val="24"/>
                <w:szCs w:val="24"/>
                <w:lang w:bidi="ar"/>
              </w:rPr>
              <w:t>日开工建设，预计工期</w:t>
            </w:r>
            <w:r>
              <w:rPr>
                <w:rFonts w:cs="Times New Roman"/>
                <w:color w:val="000000"/>
                <w:kern w:val="0"/>
                <w:sz w:val="24"/>
                <w:szCs w:val="24"/>
                <w:lang w:bidi="ar"/>
              </w:rPr>
              <w:t xml:space="preserve"> 120</w:t>
            </w:r>
            <w:r>
              <w:rPr>
                <w:rFonts w:hint="eastAsia" w:ascii="仿宋_GB2312" w:hAnsi="宋体" w:cs="仿宋_GB2312"/>
                <w:color w:val="000000"/>
                <w:kern w:val="0"/>
                <w:sz w:val="24"/>
                <w:szCs w:val="24"/>
                <w:lang w:bidi="ar"/>
              </w:rPr>
              <w:t>天。</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12</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野玉海博辉综合能源站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水城区野玉海景区索玛停车场外</w:t>
            </w:r>
            <w:r>
              <w:rPr>
                <w:rFonts w:cs="Times New Roman"/>
                <w:color w:val="000000"/>
                <w:kern w:val="0"/>
                <w:sz w:val="24"/>
                <w:szCs w:val="24"/>
                <w:lang w:bidi="ar"/>
              </w:rPr>
              <w:t>400</w:t>
            </w:r>
            <w:r>
              <w:rPr>
                <w:rFonts w:hint="eastAsia" w:ascii="仿宋_GB2312" w:hAnsi="宋体" w:cs="仿宋_GB2312"/>
                <w:color w:val="000000"/>
                <w:kern w:val="0"/>
                <w:sz w:val="24"/>
                <w:szCs w:val="24"/>
                <w:lang w:bidi="ar"/>
              </w:rPr>
              <w:t>米处</w:t>
            </w:r>
            <w:r>
              <w:rPr>
                <w:rFonts w:cs="Times New Roman"/>
                <w:color w:val="000000"/>
                <w:kern w:val="0"/>
                <w:sz w:val="24"/>
                <w:szCs w:val="24"/>
                <w:lang w:bidi="ar"/>
              </w:rPr>
              <w:t>212</w:t>
            </w:r>
            <w:r>
              <w:rPr>
                <w:rFonts w:hint="eastAsia" w:ascii="仿宋_GB2312" w:hAnsi="宋体" w:cs="仿宋_GB2312"/>
                <w:color w:val="000000"/>
                <w:kern w:val="0"/>
                <w:sz w:val="24"/>
                <w:szCs w:val="24"/>
                <w:lang w:bidi="ar"/>
              </w:rPr>
              <w:t>省道上</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cs="Times New Roman"/>
                <w:color w:val="000000"/>
                <w:kern w:val="0"/>
                <w:sz w:val="24"/>
                <w:szCs w:val="24"/>
                <w:lang w:bidi="ar"/>
              </w:rPr>
              <w:t>202</w:t>
            </w:r>
            <w:r>
              <w:rPr>
                <w:rFonts w:hint="eastAsia" w:cs="Times New Roman"/>
                <w:color w:val="000000"/>
                <w:kern w:val="0"/>
                <w:sz w:val="24"/>
                <w:szCs w:val="24"/>
                <w:lang w:bidi="ar"/>
              </w:rPr>
              <w:t>4</w:t>
            </w:r>
            <w:r>
              <w:rPr>
                <w:rFonts w:hint="eastAsia" w:ascii="仿宋_GB2312" w:hAnsi="宋体" w:cs="仿宋_GB2312"/>
                <w:color w:val="000000"/>
                <w:kern w:val="0"/>
                <w:sz w:val="24"/>
                <w:szCs w:val="24"/>
                <w:lang w:bidi="ar"/>
              </w:rPr>
              <w:t>〕</w:t>
            </w:r>
            <w:r>
              <w:rPr>
                <w:rFonts w:cs="Times New Roman"/>
                <w:color w:val="000000"/>
                <w:kern w:val="0"/>
                <w:sz w:val="24"/>
                <w:szCs w:val="24"/>
                <w:lang w:bidi="ar"/>
              </w:rPr>
              <w:t>2</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已取得土地不动产权证书、用地规划许可、工程规划许可。施工图审查通过。</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sz w:val="24"/>
                <w:szCs w:val="24"/>
              </w:rPr>
            </w:pPr>
            <w:r>
              <w:rPr>
                <w:rFonts w:eastAsia="宋体" w:cs="Times New Roman"/>
                <w:color w:val="000000"/>
                <w:kern w:val="0"/>
                <w:sz w:val="24"/>
                <w:szCs w:val="24"/>
                <w:lang w:bidi="ar"/>
              </w:rPr>
              <w:t>13</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钟山区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高中教育城油氢电综合能源站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山区天湖景观大道</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六盘水商复〔</w:t>
            </w:r>
            <w:r>
              <w:rPr>
                <w:rStyle w:val="96"/>
                <w:rFonts w:hint="eastAsia" w:eastAsia="宋体"/>
                <w:kern w:val="0"/>
                <w:lang w:bidi="ar"/>
              </w:rPr>
              <w:t>2021</w:t>
            </w:r>
            <w:r>
              <w:rPr>
                <w:rFonts w:hint="eastAsia" w:ascii="仿宋_GB2312" w:hAnsi="宋体" w:cs="仿宋_GB2312"/>
                <w:color w:val="000000"/>
                <w:kern w:val="0"/>
                <w:sz w:val="24"/>
                <w:szCs w:val="24"/>
                <w:lang w:bidi="ar"/>
              </w:rPr>
              <w:t>〕</w:t>
            </w:r>
            <w:r>
              <w:rPr>
                <w:rStyle w:val="96"/>
                <w:rFonts w:hint="eastAsia" w:eastAsia="宋体"/>
                <w:kern w:val="0"/>
                <w:lang w:bidi="ar"/>
              </w:rPr>
              <w:t>12</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等线" w:cs="宋体"/>
                <w:color w:val="000000"/>
                <w:kern w:val="0"/>
                <w:sz w:val="24"/>
                <w:szCs w:val="24"/>
              </w:rPr>
              <w:t>该加油站项目已建设完工，待商务主管部门组织现场验收，验收合格后核发成品油零售经营批准证书。</w:t>
            </w:r>
          </w:p>
        </w:tc>
        <w:tc>
          <w:tcPr>
            <w:tcW w:w="860" w:type="dxa"/>
            <w:vAlign w:val="center"/>
          </w:tcPr>
          <w:p>
            <w:pPr>
              <w:widowControl/>
              <w:spacing w:line="360" w:lineRule="exact"/>
              <w:ind w:firstLine="0" w:firstLineChars="0"/>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汽油、柴油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5" w:type="dxa"/>
            <w:vAlign w:val="center"/>
          </w:tcPr>
          <w:p>
            <w:pPr>
              <w:widowControl/>
              <w:spacing w:line="360" w:lineRule="exact"/>
              <w:ind w:firstLine="0" w:firstLineChars="0"/>
              <w:jc w:val="center"/>
              <w:textAlignment w:val="center"/>
              <w:rPr>
                <w:rFonts w:eastAsia="宋体" w:cs="Times New Roman"/>
                <w:color w:val="000000"/>
                <w:kern w:val="0"/>
                <w:sz w:val="24"/>
                <w:szCs w:val="24"/>
                <w:lang w:bidi="ar"/>
              </w:rPr>
            </w:pPr>
            <w:r>
              <w:rPr>
                <w:rFonts w:hint="eastAsia" w:eastAsia="宋体" w:cs="Times New Roman"/>
                <w:color w:val="000000"/>
                <w:kern w:val="0"/>
                <w:sz w:val="24"/>
                <w:szCs w:val="24"/>
                <w:lang w:bidi="ar"/>
              </w:rPr>
              <w:t>14</w:t>
            </w:r>
          </w:p>
        </w:tc>
        <w:tc>
          <w:tcPr>
            <w:tcW w:w="1231"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钟山区</w:t>
            </w:r>
          </w:p>
        </w:tc>
        <w:tc>
          <w:tcPr>
            <w:tcW w:w="136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八一路加油站</w:t>
            </w:r>
          </w:p>
        </w:tc>
        <w:tc>
          <w:tcPr>
            <w:tcW w:w="1837"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钟山区八一路</w:t>
            </w:r>
            <w:r>
              <w:rPr>
                <w:rFonts w:hint="eastAsia" w:cs="Times New Roman"/>
                <w:color w:val="000000"/>
                <w:kern w:val="0"/>
                <w:sz w:val="24"/>
                <w:szCs w:val="24"/>
                <w:lang w:bidi="ar"/>
              </w:rPr>
              <w:t>200</w:t>
            </w:r>
            <w:r>
              <w:rPr>
                <w:rFonts w:hint="eastAsia" w:ascii="仿宋_GB2312" w:hAnsi="宋体" w:cs="仿宋_GB2312"/>
                <w:color w:val="000000"/>
                <w:kern w:val="0"/>
                <w:sz w:val="24"/>
                <w:szCs w:val="24"/>
                <w:lang w:bidi="ar"/>
              </w:rPr>
              <w:t>号</w:t>
            </w:r>
          </w:p>
        </w:tc>
        <w:tc>
          <w:tcPr>
            <w:tcW w:w="1500"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Fonts w:hint="eastAsia" w:cs="Times New Roman"/>
                <w:color w:val="000000"/>
                <w:kern w:val="0"/>
                <w:sz w:val="24"/>
                <w:szCs w:val="24"/>
                <w:lang w:bidi="ar"/>
              </w:rPr>
              <w:t>2026</w:t>
            </w:r>
            <w:r>
              <w:rPr>
                <w:rFonts w:hint="eastAsia" w:ascii="仿宋_GB2312" w:hAnsi="宋体" w:cs="仿宋_GB2312"/>
                <w:color w:val="000000"/>
                <w:kern w:val="0"/>
                <w:sz w:val="24"/>
                <w:szCs w:val="24"/>
                <w:lang w:bidi="ar"/>
              </w:rPr>
              <w:t>〕</w:t>
            </w:r>
            <w:r>
              <w:rPr>
                <w:rFonts w:hint="eastAsia" w:cs="Times New Roman"/>
                <w:color w:val="000000"/>
                <w:kern w:val="0"/>
                <w:sz w:val="24"/>
                <w:szCs w:val="24"/>
                <w:lang w:bidi="ar"/>
              </w:rPr>
              <w:t>5</w:t>
            </w:r>
            <w:r>
              <w:rPr>
                <w:rFonts w:hint="eastAsia" w:ascii="仿宋_GB2312" w:hAnsi="宋体" w:cs="仿宋_GB2312"/>
                <w:color w:val="000000"/>
                <w:kern w:val="0"/>
                <w:sz w:val="24"/>
                <w:szCs w:val="24"/>
                <w:lang w:bidi="ar"/>
              </w:rPr>
              <w:t>号</w:t>
            </w:r>
          </w:p>
        </w:tc>
        <w:tc>
          <w:tcPr>
            <w:tcW w:w="2448" w:type="dxa"/>
            <w:vAlign w:val="center"/>
          </w:tcPr>
          <w:p>
            <w:pPr>
              <w:widowControl/>
              <w:spacing w:line="36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该加油站项目已建设完工，待商务主管部门组织现场验收，验收合格后核发成品油零售经营批准证书。</w:t>
            </w:r>
          </w:p>
        </w:tc>
        <w:tc>
          <w:tcPr>
            <w:tcW w:w="860" w:type="dxa"/>
            <w:vAlign w:val="center"/>
          </w:tcPr>
          <w:p>
            <w:pPr>
              <w:widowControl/>
              <w:spacing w:line="360" w:lineRule="exact"/>
              <w:ind w:firstLine="0" w:firstLineChars="0"/>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汽油、柴油</w:t>
            </w:r>
          </w:p>
        </w:tc>
      </w:tr>
    </w:tbl>
    <w:p>
      <w:pPr>
        <w:pStyle w:val="2"/>
      </w:pPr>
      <w:bookmarkStart w:id="214" w:name="_Toc237424209"/>
      <w:bookmarkStart w:id="215" w:name="_Toc228174672"/>
      <w:bookmarkStart w:id="216" w:name="_Toc24025"/>
      <w:bookmarkStart w:id="217" w:name="_Toc27579"/>
      <w:bookmarkStart w:id="218" w:name="_Toc8361"/>
      <w:r>
        <w:rPr>
          <w:rFonts w:hint="eastAsia"/>
        </w:rPr>
        <w:t>附表3：2026—2030年六盘水市新增加油站清单</w:t>
      </w:r>
      <w:bookmarkEnd w:id="214"/>
    </w:p>
    <w:tbl>
      <w:tblPr>
        <w:tblStyle w:val="21"/>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330"/>
        <w:gridCol w:w="2766"/>
        <w:gridCol w:w="2410"/>
        <w:gridCol w:w="2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24" w:type="dxa"/>
            <w:vAlign w:val="center"/>
          </w:tcPr>
          <w:p>
            <w:pPr>
              <w:widowControl/>
              <w:snapToGrid w:val="0"/>
              <w:spacing w:line="36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序号</w:t>
            </w:r>
          </w:p>
        </w:tc>
        <w:tc>
          <w:tcPr>
            <w:tcW w:w="1330" w:type="dxa"/>
            <w:vAlign w:val="center"/>
          </w:tcPr>
          <w:p>
            <w:pPr>
              <w:widowControl/>
              <w:snapToGrid w:val="0"/>
              <w:spacing w:line="36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区县</w:t>
            </w:r>
          </w:p>
        </w:tc>
        <w:tc>
          <w:tcPr>
            <w:tcW w:w="2766" w:type="dxa"/>
            <w:vAlign w:val="center"/>
          </w:tcPr>
          <w:p>
            <w:pPr>
              <w:widowControl/>
              <w:snapToGrid w:val="0"/>
              <w:spacing w:line="36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加油站点选址</w:t>
            </w:r>
          </w:p>
        </w:tc>
        <w:tc>
          <w:tcPr>
            <w:tcW w:w="2410" w:type="dxa"/>
            <w:vAlign w:val="center"/>
          </w:tcPr>
          <w:p>
            <w:pPr>
              <w:widowControl/>
              <w:snapToGrid w:val="0"/>
              <w:spacing w:line="360" w:lineRule="exact"/>
              <w:ind w:firstLine="0" w:firstLineChars="0"/>
              <w:jc w:val="center"/>
              <w:rPr>
                <w:rFonts w:hint="eastAsia" w:ascii="仿宋_GB2312" w:hAnsi="等线" w:cs="宋体"/>
                <w:b/>
                <w:bCs/>
                <w:color w:val="000000"/>
                <w:kern w:val="0"/>
                <w:sz w:val="24"/>
                <w:szCs w:val="24"/>
              </w:rPr>
            </w:pPr>
            <w:r>
              <w:rPr>
                <w:rFonts w:hint="eastAsia" w:ascii="仿宋_GB2312" w:hAnsi="等线" w:cs="宋体"/>
                <w:b/>
                <w:bCs/>
                <w:color w:val="000000"/>
                <w:kern w:val="0"/>
                <w:sz w:val="24"/>
                <w:szCs w:val="24"/>
              </w:rPr>
              <w:t>加油站坐标</w:t>
            </w:r>
          </w:p>
        </w:tc>
        <w:tc>
          <w:tcPr>
            <w:tcW w:w="2320" w:type="dxa"/>
            <w:vAlign w:val="center"/>
          </w:tcPr>
          <w:p>
            <w:pPr>
              <w:widowControl/>
              <w:snapToGrid w:val="0"/>
              <w:spacing w:line="360" w:lineRule="exact"/>
              <w:ind w:firstLine="0" w:firstLineChars="0"/>
              <w:jc w:val="center"/>
              <w:rPr>
                <w:rFonts w:hint="eastAsia" w:ascii="仿宋_GB2312" w:hAnsi="等线" w:cs="宋体"/>
                <w:b/>
                <w:bCs/>
                <w:color w:val="000000"/>
                <w:kern w:val="0"/>
                <w:sz w:val="24"/>
                <w:szCs w:val="24"/>
              </w:rPr>
            </w:pPr>
            <w:r>
              <w:rPr>
                <w:rFonts w:ascii="仿宋_GB2312" w:hAnsi="等线" w:cs="宋体"/>
                <w:b/>
                <w:bCs/>
                <w:color w:val="000000"/>
                <w:kern w:val="0"/>
                <w:sz w:val="24"/>
                <w:szCs w:val="24"/>
              </w:rPr>
              <w:t>土地地块规划用途和性质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月亮河彝族布依族苗族乡把仕寨村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把仕寨综合能源站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新华镇新平村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新华综合能源站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lang w:bidi="ar"/>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3</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塔山街道塔山社区城区</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塔山综合能源站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lang w:bidi="ar"/>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4</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九龙街道青龙社区</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九龙综合能源站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lang w:bidi="ar"/>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5</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微软雅黑" w:cs="微软雅黑"/>
                <w:kern w:val="0"/>
                <w:sz w:val="24"/>
                <w:szCs w:val="24"/>
              </w:rPr>
              <w:t>牂牁</w:t>
            </w:r>
            <w:r>
              <w:rPr>
                <w:rFonts w:hint="eastAsia" w:ascii="仿宋_GB2312" w:hAnsi="仿宋_GB2312" w:cs="仿宋_GB2312"/>
                <w:kern w:val="0"/>
                <w:sz w:val="24"/>
                <w:szCs w:val="24"/>
              </w:rPr>
              <w:t>镇境内</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毛口综合能源站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lang w:bidi="ar"/>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6</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大用镇大用村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大用镇综合能源站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lang w:bidi="ar"/>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7</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牛场苗族彝族乡牛场村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牛场乡综合能源站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lang w:bidi="ar"/>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8</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六枝特区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洒志境内</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洒志综合能源站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lang w:bidi="ar"/>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9</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盘州市</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安盘高速鸡场坪东服务区一站（北侧）</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服务区内</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10</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盘州市</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安盘高速鸡场坪东服务区二站（南侧）</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服务区内</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11</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盘州市</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鸡场坪至刘官一级公路（在建）</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一级路预留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12</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盘州市</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刘官至赵官一级公路（在建）</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一级路预留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13</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盘州市</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普古乡娘娘山片区</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娘娘山片区预留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14</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阿戛镇盐井村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盐井综合能源站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15</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鸡场镇S212线</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鸡场综合能源站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加油加气站用地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16</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安盘高速天门（官寨）服务区一站（西侧）</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服务区内</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17</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安盘高速天门（官寨）服务区二站（东侧）</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服务区内</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18</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G8517屏山至兴义高速公路六盘水至兴义段服务区（西侧）（间距大于50km)</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服务区内（高速公路服务区预留）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19</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G8517屏山至兴义高速公路六盘水至兴义段服务区（东侧）（间距大于50km)</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服务区内（高速公路服务区预留）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20</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两立路与陡化路平交口隧道出口附近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化乐综合能源站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21</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乌蒙大道水城区境内服务区（停车区）（双水往老鹰山方向）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金河综合能源一站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22</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乌蒙大道水城区境内服务区（停车区）（老鹰山往双水方向）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金河综合能源二站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23</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陡箐镇红岩片区</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红岩综合能源站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24</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水城区海坪街道玉钱大道与野玉海收费站入口交接处</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野玉海综合能源站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公共设施营业网点用地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25</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钟山区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青林苗族彝族乡232县道和153乡道交叉口偏北</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青林综合能源站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26</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钟山区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双戛街道中箐村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姚家营综合能源站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27</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钟山区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木果镇木大公路</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盛卓综合能源站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将按要求衔接规划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default" w:ascii="仿宋_GB2312" w:hAnsi="等线" w:eastAsia="仿宋_GB2312" w:cs="宋体"/>
                <w:kern w:val="0"/>
                <w:sz w:val="24"/>
                <w:szCs w:val="24"/>
                <w:lang w:val="en-US" w:eastAsia="zh-CN"/>
              </w:rPr>
            </w:pPr>
            <w:r>
              <w:rPr>
                <w:rFonts w:hint="eastAsia" w:ascii="仿宋_GB2312" w:hAnsi="等线" w:cs="宋体"/>
                <w:kern w:val="0"/>
                <w:sz w:val="24"/>
                <w:szCs w:val="24"/>
                <w:lang w:val="en-US" w:eastAsia="zh-CN"/>
              </w:rPr>
              <w:t>28</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钟山区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内环快线杨柳街道三块田村</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龙泉2号综合能源站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hint="eastAsia" w:eastAsia="宋体" w:cs="Times New Roman"/>
                <w:sz w:val="24"/>
                <w:szCs w:val="24"/>
              </w:rPr>
              <w:t>090105</w:t>
            </w:r>
            <w:r>
              <w:rPr>
                <w:rFonts w:hint="eastAsia" w:ascii="仿宋_GB2312" w:hAnsi="等线"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widowControl/>
              <w:snapToGrid w:val="0"/>
              <w:spacing w:line="360" w:lineRule="exact"/>
              <w:ind w:firstLine="0" w:firstLineChars="0"/>
              <w:jc w:val="center"/>
              <w:rPr>
                <w:rFonts w:hint="default" w:ascii="仿宋_GB2312" w:hAnsi="等线" w:eastAsia="仿宋_GB2312" w:cs="宋体"/>
                <w:kern w:val="0"/>
                <w:sz w:val="24"/>
                <w:szCs w:val="24"/>
                <w:lang w:val="en-US" w:eastAsia="zh-CN"/>
              </w:rPr>
            </w:pPr>
            <w:r>
              <w:rPr>
                <w:rFonts w:hint="eastAsia" w:ascii="仿宋_GB2312" w:hAnsi="等线" w:cs="宋体"/>
                <w:kern w:val="0"/>
                <w:sz w:val="24"/>
                <w:szCs w:val="24"/>
                <w:lang w:val="en-US" w:eastAsia="zh-CN"/>
              </w:rPr>
              <w:t>29</w:t>
            </w:r>
          </w:p>
        </w:tc>
        <w:tc>
          <w:tcPr>
            <w:tcW w:w="133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高新区</w:t>
            </w:r>
          </w:p>
        </w:tc>
        <w:tc>
          <w:tcPr>
            <w:tcW w:w="2766"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六盘水高新技术产业开发区G356南侧，红桥矿业洗选厂东南</w:t>
            </w:r>
          </w:p>
        </w:tc>
        <w:tc>
          <w:tcPr>
            <w:tcW w:w="241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高新技术产业开发区南综合能源站</w:t>
            </w:r>
          </w:p>
        </w:tc>
        <w:tc>
          <w:tcPr>
            <w:tcW w:w="2320" w:type="dxa"/>
            <w:vAlign w:val="center"/>
          </w:tcPr>
          <w:p>
            <w:pPr>
              <w:widowControl/>
              <w:snapToGrid w:val="0"/>
              <w:spacing w:line="360" w:lineRule="exact"/>
              <w:ind w:firstLine="0" w:firstLineChars="0"/>
              <w:jc w:val="center"/>
              <w:rPr>
                <w:rFonts w:hint="eastAsia" w:ascii="仿宋_GB2312" w:hAnsi="等线" w:cs="宋体"/>
                <w:kern w:val="0"/>
                <w:sz w:val="24"/>
                <w:szCs w:val="24"/>
              </w:rPr>
            </w:pPr>
            <w:r>
              <w:rPr>
                <w:rFonts w:hint="eastAsia" w:ascii="仿宋_GB2312" w:hAnsi="等线" w:cs="宋体"/>
                <w:kern w:val="0"/>
                <w:sz w:val="24"/>
                <w:szCs w:val="24"/>
              </w:rPr>
              <w:t>公用设施营业网点用地（</w:t>
            </w:r>
            <w:r>
              <w:rPr>
                <w:rFonts w:hint="eastAsia" w:eastAsia="宋体" w:cs="Times New Roman"/>
                <w:sz w:val="24"/>
                <w:szCs w:val="24"/>
              </w:rPr>
              <w:t>090105</w:t>
            </w:r>
            <w:r>
              <w:rPr>
                <w:rFonts w:hint="eastAsia" w:ascii="仿宋_GB2312" w:hAnsi="等线" w:cs="宋体"/>
                <w:kern w:val="0"/>
                <w:sz w:val="24"/>
                <w:szCs w:val="24"/>
              </w:rPr>
              <w:t>）</w:t>
            </w:r>
          </w:p>
        </w:tc>
      </w:tr>
    </w:tbl>
    <w:p>
      <w:pPr>
        <w:ind w:firstLine="0" w:firstLineChars="0"/>
      </w:pPr>
    </w:p>
    <w:bookmarkEnd w:id="215"/>
    <w:bookmarkEnd w:id="216"/>
    <w:bookmarkEnd w:id="217"/>
    <w:bookmarkEnd w:id="218"/>
    <w:p>
      <w:pPr>
        <w:pStyle w:val="2"/>
      </w:pPr>
      <w:bookmarkStart w:id="219" w:name="_Toc7379"/>
      <w:bookmarkStart w:id="220" w:name="_Toc31082"/>
      <w:bookmarkStart w:id="221" w:name="_Toc10537"/>
      <w:bookmarkStart w:id="222" w:name="_Toc237424210"/>
      <w:r>
        <w:rPr>
          <w:rFonts w:hint="eastAsia"/>
        </w:rPr>
        <w:t>附表4：</w:t>
      </w:r>
      <w:bookmarkEnd w:id="219"/>
      <w:bookmarkEnd w:id="220"/>
      <w:bookmarkEnd w:id="221"/>
      <w:r>
        <w:rPr>
          <w:rFonts w:hint="eastAsia"/>
        </w:rPr>
        <w:t>2026—2030年六盘水市改造/新增加气加氢站清单</w:t>
      </w:r>
      <w:bookmarkEnd w:id="222"/>
    </w:p>
    <w:tbl>
      <w:tblPr>
        <w:tblStyle w:val="21"/>
        <w:tblW w:w="9745" w:type="dxa"/>
        <w:jc w:val="center"/>
        <w:tblLayout w:type="autofit"/>
        <w:tblCellMar>
          <w:top w:w="0" w:type="dxa"/>
          <w:left w:w="108" w:type="dxa"/>
          <w:bottom w:w="0" w:type="dxa"/>
          <w:right w:w="108" w:type="dxa"/>
        </w:tblCellMar>
      </w:tblPr>
      <w:tblGrid>
        <w:gridCol w:w="552"/>
        <w:gridCol w:w="1230"/>
        <w:gridCol w:w="1490"/>
        <w:gridCol w:w="1745"/>
        <w:gridCol w:w="1182"/>
        <w:gridCol w:w="795"/>
        <w:gridCol w:w="1441"/>
        <w:gridCol w:w="1310"/>
      </w:tblGrid>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序号</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区县</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站点名称</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建设地点</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建设类型（预留）</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现状</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sz w:val="24"/>
                <w:szCs w:val="24"/>
              </w:rPr>
            </w:pPr>
            <w:r>
              <w:rPr>
                <w:rFonts w:hint="eastAsia" w:ascii="仿宋_GB2312" w:hAnsi="宋体" w:cs="仿宋_GB2312"/>
                <w:b/>
                <w:bCs/>
                <w:color w:val="000000"/>
                <w:kern w:val="0"/>
                <w:sz w:val="24"/>
                <w:szCs w:val="24"/>
                <w:lang w:bidi="ar"/>
              </w:rPr>
              <w:t>批复文号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b/>
                <w:bCs/>
                <w:color w:val="000000"/>
                <w:kern w:val="0"/>
                <w:sz w:val="24"/>
                <w:szCs w:val="24"/>
                <w:lang w:bidi="ar"/>
              </w:rPr>
            </w:pPr>
            <w:r>
              <w:rPr>
                <w:rFonts w:ascii="仿宋_GB2312" w:hAnsi="等线" w:cs="宋体"/>
                <w:b/>
                <w:bCs/>
                <w:color w:val="000000"/>
                <w:kern w:val="0"/>
                <w:sz w:val="24"/>
                <w:szCs w:val="24"/>
              </w:rPr>
              <w:t>土地地块规划用途和性质</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纸厂加油站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玉舍镇新发</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已批在建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水工信复〔</w:t>
            </w:r>
            <w:r>
              <w:rPr>
                <w:rStyle w:val="96"/>
                <w:rFonts w:hint="eastAsia"/>
              </w:rPr>
              <w:t>2026</w:t>
            </w:r>
            <w:r>
              <w:rPr>
                <w:rFonts w:hint="eastAsia" w:ascii="仿宋_GB2312" w:hAnsi="宋体" w:cs="仿宋_GB2312"/>
                <w:color w:val="000000"/>
                <w:kern w:val="0"/>
                <w:sz w:val="24"/>
                <w:szCs w:val="24"/>
                <w:lang w:bidi="ar"/>
              </w:rPr>
              <w:t>〕</w:t>
            </w:r>
            <w:r>
              <w:rPr>
                <w:rStyle w:val="96"/>
                <w:rFonts w:hint="eastAsia" w:eastAsia="宋体"/>
              </w:rPr>
              <w:t>24</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加油加气站用地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马家营停车区毕都加油四站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杭瑞高速马家营停车区（毕节至六盘水）</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已批在建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水工信复〔</w:t>
            </w:r>
            <w:r>
              <w:rPr>
                <w:rStyle w:val="96"/>
                <w:lang w:bidi="ar"/>
              </w:rPr>
              <w:t>2025</w:t>
            </w:r>
            <w:r>
              <w:rPr>
                <w:rFonts w:hint="eastAsia" w:ascii="仿宋_GB2312" w:hAnsi="宋体" w:cs="仿宋_GB2312"/>
                <w:color w:val="000000"/>
                <w:kern w:val="0"/>
                <w:sz w:val="24"/>
                <w:szCs w:val="24"/>
                <w:lang w:bidi="ar"/>
              </w:rPr>
              <w:t>〕</w:t>
            </w:r>
            <w:r>
              <w:rPr>
                <w:rStyle w:val="96"/>
                <w:lang w:bidi="ar"/>
              </w:rPr>
              <w:t>815</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高速</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钟山区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高中教育城油氢电综合能源站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山区天湖景观大道</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已批在建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六盘水商复〔</w:t>
            </w:r>
            <w:r>
              <w:rPr>
                <w:rStyle w:val="96"/>
                <w:rFonts w:hint="eastAsia" w:eastAsia="宋体"/>
                <w:kern w:val="0"/>
                <w:lang w:bidi="ar"/>
              </w:rPr>
              <w:t>2021</w:t>
            </w:r>
            <w:r>
              <w:rPr>
                <w:rFonts w:hint="eastAsia" w:ascii="仿宋_GB2312" w:hAnsi="宋体" w:cs="仿宋_GB2312"/>
                <w:color w:val="000000"/>
                <w:kern w:val="0"/>
                <w:sz w:val="24"/>
                <w:szCs w:val="24"/>
                <w:lang w:bidi="ar"/>
              </w:rPr>
              <w:t>〕</w:t>
            </w:r>
            <w:r>
              <w:rPr>
                <w:rStyle w:val="96"/>
                <w:rFonts w:hint="eastAsia" w:eastAsia="宋体"/>
                <w:kern w:val="0"/>
                <w:lang w:bidi="ar"/>
              </w:rPr>
              <w:t>12</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新郎岱加油一站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六枝特区郎岱镇水黄公路段</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jc w:val="left"/>
              <w:textAlignment w:val="center"/>
              <w:rPr>
                <w:rFonts w:hint="eastAsia" w:ascii="宋体" w:hAnsi="宋体" w:eastAsia="宋体" w:cs="宋体"/>
                <w:color w:val="FF0000"/>
                <w:sz w:val="22"/>
              </w:rPr>
            </w:pPr>
            <w:r>
              <w:rPr>
                <w:rFonts w:hint="eastAsia" w:ascii="仿宋_GB2312" w:hAnsi="宋体" w:cs="仿宋_GB2312"/>
                <w:color w:val="000000"/>
                <w:kern w:val="0"/>
                <w:sz w:val="24"/>
                <w:szCs w:val="24"/>
                <w:lang w:bidi="ar"/>
              </w:rPr>
              <w:t>六特商务复〔</w:t>
            </w:r>
            <w:r>
              <w:rPr>
                <w:rStyle w:val="96"/>
                <w:rFonts w:hint="eastAsia" w:eastAsia="宋体"/>
                <w:sz w:val="22"/>
                <w:szCs w:val="22"/>
                <w:lang w:bidi="ar"/>
              </w:rPr>
              <w:t>2026</w:t>
            </w:r>
            <w:r>
              <w:rPr>
                <w:rFonts w:hint="eastAsia" w:ascii="仿宋_GB2312" w:hAnsi="宋体" w:cs="仿宋_GB2312"/>
                <w:color w:val="000000"/>
                <w:kern w:val="0"/>
                <w:sz w:val="24"/>
                <w:szCs w:val="24"/>
                <w:lang w:bidi="ar"/>
              </w:rPr>
              <w:t>〕</w:t>
            </w:r>
            <w:r>
              <w:rPr>
                <w:rStyle w:val="96"/>
                <w:rFonts w:hint="eastAsia" w:eastAsia="宋体"/>
                <w:sz w:val="22"/>
                <w:szCs w:val="22"/>
                <w:lang w:bidi="ar"/>
              </w:rPr>
              <w:t>1</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高速公路附属设施</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雨至服务区加油一站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纳晴高速廻龙服务区（六盘水至毕节）</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sz w:val="24"/>
                <w:szCs w:val="24"/>
              </w:rPr>
              <w:t>原站增设加气（加氢）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jc w:val="left"/>
              <w:rPr>
                <w:rFonts w:hint="eastAsia" w:ascii="仿宋_GB2312" w:hAnsi="宋体" w:cs="仿宋_GB2312"/>
                <w:color w:val="000000"/>
                <w:sz w:val="24"/>
                <w:szCs w:val="24"/>
              </w:rPr>
            </w:pPr>
            <w:r>
              <w:rPr>
                <w:rFonts w:hint="eastAsia" w:ascii="仿宋_GB2312" w:hAnsi="宋体" w:cs="仿宋_GB2312"/>
                <w:color w:val="000000"/>
                <w:sz w:val="24"/>
                <w:szCs w:val="24"/>
              </w:rPr>
              <w:t>六特商务复</w:t>
            </w:r>
            <w:r>
              <w:rPr>
                <w:rFonts w:hint="eastAsia" w:ascii="仿宋_GB2312" w:hAnsi="宋体" w:cs="仿宋_GB2312"/>
                <w:color w:val="000000"/>
                <w:kern w:val="0"/>
                <w:sz w:val="24"/>
                <w:szCs w:val="24"/>
                <w:lang w:bidi="ar"/>
              </w:rPr>
              <w:t>〔</w:t>
            </w:r>
            <w:r>
              <w:rPr>
                <w:rStyle w:val="96"/>
                <w:rFonts w:hint="eastAsia" w:eastAsia="宋体"/>
              </w:rPr>
              <w:t>2025</w:t>
            </w:r>
            <w:r>
              <w:rPr>
                <w:rFonts w:hint="eastAsia" w:ascii="仿宋_GB2312" w:hAnsi="宋体" w:cs="仿宋_GB2312"/>
                <w:color w:val="000000"/>
                <w:kern w:val="0"/>
                <w:sz w:val="24"/>
                <w:szCs w:val="24"/>
                <w:lang w:bidi="ar"/>
              </w:rPr>
              <w:t>〕</w:t>
            </w:r>
            <w:r>
              <w:rPr>
                <w:rStyle w:val="96"/>
                <w:rFonts w:hint="eastAsia" w:eastAsia="宋体"/>
              </w:rPr>
              <w:t>1</w:t>
            </w:r>
            <w:r>
              <w:rPr>
                <w:rFonts w:hint="eastAsia" w:ascii="仿宋_GB2312" w:hAnsi="宋体" w:cs="仿宋_GB2312"/>
                <w:color w:val="000000"/>
                <w:sz w:val="24"/>
                <w:szCs w:val="24"/>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jc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高速公路附属设施</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雨至服务区加油二站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纳晴高速廻龙服务区（毕节至六盘水）</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sz w:val="24"/>
                <w:szCs w:val="24"/>
              </w:rPr>
              <w:t>原站增设加气（加氢）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sz w:val="24"/>
                <w:szCs w:val="24"/>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rPr>
                <w:rFonts w:hint="eastAsia" w:ascii="仿宋_GB2312" w:hAnsi="宋体" w:cs="仿宋_GB2312"/>
                <w:color w:val="000000"/>
                <w:sz w:val="24"/>
                <w:szCs w:val="24"/>
              </w:rPr>
            </w:pPr>
            <w:r>
              <w:rPr>
                <w:rFonts w:hint="eastAsia" w:ascii="仿宋_GB2312" w:hAnsi="宋体" w:cs="仿宋_GB2312"/>
                <w:color w:val="000000"/>
                <w:sz w:val="24"/>
                <w:szCs w:val="24"/>
              </w:rPr>
              <w:t>六特商务复</w:t>
            </w:r>
            <w:r>
              <w:rPr>
                <w:rFonts w:hint="eastAsia" w:ascii="仿宋_GB2312" w:hAnsi="宋体" w:cs="仿宋_GB2312"/>
                <w:color w:val="000000"/>
                <w:kern w:val="0"/>
                <w:sz w:val="24"/>
                <w:szCs w:val="24"/>
                <w:lang w:bidi="ar"/>
              </w:rPr>
              <w:t>〔</w:t>
            </w:r>
            <w:r>
              <w:rPr>
                <w:rStyle w:val="96"/>
                <w:rFonts w:hint="eastAsia" w:eastAsia="宋体"/>
              </w:rPr>
              <w:t>2025</w:t>
            </w:r>
            <w:r>
              <w:rPr>
                <w:rFonts w:hint="eastAsia" w:ascii="仿宋_GB2312" w:hAnsi="宋体" w:cs="仿宋_GB2312"/>
                <w:color w:val="000000"/>
                <w:kern w:val="0"/>
                <w:sz w:val="24"/>
                <w:szCs w:val="24"/>
                <w:lang w:bidi="ar"/>
              </w:rPr>
              <w:t>〕</w:t>
            </w:r>
            <w:r>
              <w:rPr>
                <w:rStyle w:val="96"/>
                <w:rFonts w:hint="eastAsia" w:eastAsia="宋体"/>
              </w:rPr>
              <w:t>1</w:t>
            </w:r>
            <w:r>
              <w:rPr>
                <w:rFonts w:hint="eastAsia" w:ascii="仿宋_GB2312" w:hAnsi="宋体" w:cs="仿宋_GB2312"/>
                <w:color w:val="000000"/>
                <w:sz w:val="24"/>
                <w:szCs w:val="24"/>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jc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高速公路附属设施</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7</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盘州保田二号加油加气站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盘州市保田镇盘兴高速西侧保田服务区</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jc w:val="left"/>
              <w:textAlignment w:val="center"/>
              <w:rPr>
                <w:rFonts w:hint="eastAsia" w:ascii="宋体" w:hAnsi="宋体" w:eastAsia="宋体" w:cs="宋体"/>
                <w:color w:val="FF0000"/>
                <w:sz w:val="22"/>
              </w:rPr>
            </w:pPr>
            <w:r>
              <w:rPr>
                <w:rFonts w:hint="eastAsia" w:ascii="仿宋_GB2312" w:hAnsi="宋体" w:cs="仿宋_GB2312"/>
                <w:color w:val="000000"/>
                <w:kern w:val="0"/>
                <w:sz w:val="24"/>
                <w:szCs w:val="24"/>
                <w:lang w:bidi="ar"/>
              </w:rPr>
              <w:t>黔商函〔</w:t>
            </w:r>
            <w:r>
              <w:rPr>
                <w:rStyle w:val="96"/>
                <w:rFonts w:hint="eastAsia" w:eastAsia="宋体"/>
                <w:sz w:val="22"/>
                <w:szCs w:val="22"/>
                <w:lang w:bidi="ar"/>
              </w:rPr>
              <w:t>2016</w:t>
            </w:r>
            <w:r>
              <w:rPr>
                <w:rFonts w:hint="eastAsia" w:ascii="仿宋_GB2312" w:hAnsi="宋体" w:cs="仿宋_GB2312"/>
                <w:color w:val="000000"/>
                <w:kern w:val="0"/>
                <w:sz w:val="24"/>
                <w:szCs w:val="24"/>
                <w:lang w:bidi="ar"/>
              </w:rPr>
              <w:t>〕</w:t>
            </w:r>
            <w:r>
              <w:rPr>
                <w:rStyle w:val="96"/>
                <w:rFonts w:hint="eastAsia" w:eastAsia="宋体"/>
                <w:kern w:val="0"/>
                <w:sz w:val="22"/>
                <w:szCs w:val="22"/>
                <w:lang w:bidi="ar"/>
              </w:rPr>
              <w:t>187</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盘州保田一号加油加气站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盘州市保田镇盘兴高速东侧保田服务区</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rPr>
                <w:rFonts w:hint="eastAsia" w:ascii="宋体" w:hAnsi="宋体" w:eastAsia="宋体" w:cs="宋体"/>
                <w:color w:val="FF0000"/>
                <w:sz w:val="22"/>
              </w:rPr>
            </w:pPr>
            <w:r>
              <w:rPr>
                <w:rFonts w:hint="eastAsia" w:ascii="仿宋_GB2312" w:hAnsi="宋体" w:cs="仿宋_GB2312"/>
                <w:color w:val="000000"/>
                <w:kern w:val="0"/>
                <w:sz w:val="24"/>
                <w:szCs w:val="24"/>
                <w:lang w:bidi="ar"/>
              </w:rPr>
              <w:t>黔商函〔</w:t>
            </w:r>
            <w:r>
              <w:rPr>
                <w:rStyle w:val="96"/>
                <w:rFonts w:hint="eastAsia" w:eastAsia="宋体"/>
                <w:kern w:val="0"/>
                <w:sz w:val="22"/>
                <w:szCs w:val="22"/>
                <w:lang w:bidi="ar"/>
              </w:rPr>
              <w:t>2016</w:t>
            </w:r>
            <w:r>
              <w:rPr>
                <w:rFonts w:hint="eastAsia" w:ascii="仿宋_GB2312" w:hAnsi="宋体" w:cs="仿宋_GB2312"/>
                <w:color w:val="000000"/>
                <w:kern w:val="0"/>
                <w:sz w:val="24"/>
                <w:szCs w:val="24"/>
                <w:lang w:bidi="ar"/>
              </w:rPr>
              <w:t>〕</w:t>
            </w:r>
            <w:r>
              <w:rPr>
                <w:rStyle w:val="96"/>
                <w:rFonts w:hint="eastAsia" w:eastAsia="宋体"/>
                <w:kern w:val="0"/>
                <w:sz w:val="22"/>
                <w:szCs w:val="22"/>
                <w:lang w:bidi="ar"/>
              </w:rPr>
              <w:t>187</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毕都高速都格收费站加油一站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都格镇G56杭瑞高速都格停车区（云南方向）</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水工信复〔</w:t>
            </w:r>
            <w:r>
              <w:rPr>
                <w:rStyle w:val="96"/>
                <w:lang w:bidi="ar"/>
              </w:rPr>
              <w:t>2025</w:t>
            </w:r>
            <w:r>
              <w:rPr>
                <w:rFonts w:hint="eastAsia" w:ascii="仿宋_GB2312" w:hAnsi="宋体" w:cs="仿宋_GB2312"/>
                <w:color w:val="000000"/>
                <w:kern w:val="0"/>
                <w:sz w:val="24"/>
                <w:szCs w:val="24"/>
                <w:lang w:bidi="ar"/>
              </w:rPr>
              <w:t>〕</w:t>
            </w:r>
            <w:r>
              <w:rPr>
                <w:rStyle w:val="96"/>
                <w:lang w:bidi="ar"/>
              </w:rPr>
              <w:t>814</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马家营停车区毕都加油三站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杭瑞高速马家营停车区（六盘水至毕节）</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水工信复〔</w:t>
            </w:r>
            <w:r>
              <w:rPr>
                <w:rStyle w:val="96"/>
                <w:lang w:bidi="ar"/>
              </w:rPr>
              <w:t>2025</w:t>
            </w:r>
            <w:r>
              <w:rPr>
                <w:rFonts w:hint="eastAsia" w:ascii="仿宋_GB2312" w:hAnsi="宋体" w:cs="仿宋_GB2312"/>
                <w:color w:val="000000"/>
                <w:kern w:val="0"/>
                <w:sz w:val="24"/>
                <w:szCs w:val="24"/>
                <w:lang w:bidi="ar"/>
              </w:rPr>
              <w:t>〕</w:t>
            </w:r>
            <w:r>
              <w:rPr>
                <w:rStyle w:val="96"/>
                <w:lang w:bidi="ar"/>
              </w:rPr>
              <w:t>815</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钟山区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德坞加油站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钟山区德坞片区内环快速路北侧</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rPr>
                <w:rFonts w:hint="eastAsia" w:ascii="仿宋_GB2312" w:hAnsi="宋体" w:cs="仿宋_GB2312"/>
                <w:color w:val="000000"/>
                <w:sz w:val="24"/>
                <w:szCs w:val="24"/>
              </w:rPr>
            </w:pPr>
            <w:r>
              <w:rPr>
                <w:rFonts w:hint="eastAsia" w:ascii="仿宋_GB2312" w:hAnsi="宋体" w:cs="仿宋_GB2312"/>
                <w:color w:val="000000"/>
                <w:sz w:val="24"/>
                <w:szCs w:val="24"/>
              </w:rPr>
              <w:t>六盘水商复〔</w:t>
            </w:r>
            <w:r>
              <w:rPr>
                <w:rStyle w:val="96"/>
                <w:rFonts w:hint="eastAsia"/>
                <w:lang w:bidi="ar"/>
              </w:rPr>
              <w:t>2021</w:t>
            </w:r>
            <w:r>
              <w:rPr>
                <w:rFonts w:hint="eastAsia" w:ascii="仿宋_GB2312" w:hAnsi="宋体" w:cs="仿宋_GB2312"/>
                <w:color w:val="000000"/>
                <w:sz w:val="24"/>
                <w:szCs w:val="24"/>
              </w:rPr>
              <w:t>〕</w:t>
            </w:r>
            <w:r>
              <w:rPr>
                <w:rStyle w:val="96"/>
                <w:rFonts w:hint="eastAsia" w:eastAsia="宋体"/>
                <w:lang w:bidi="ar"/>
              </w:rPr>
              <w:t xml:space="preserve">10 </w:t>
            </w:r>
            <w:r>
              <w:rPr>
                <w:rFonts w:hint="eastAsia" w:ascii="仿宋_GB2312" w:hAnsi="宋体" w:cs="仿宋_GB2312"/>
                <w:color w:val="000000"/>
                <w:sz w:val="24"/>
                <w:szCs w:val="24"/>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12</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高新区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毕都加油一站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六盘水服务区北侧</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六盘水高新科（经）复字</w:t>
            </w:r>
            <w:r>
              <w:rPr>
                <w:rFonts w:hint="eastAsia" w:ascii="仿宋_GB2312" w:hAnsi="宋体" w:cs="仿宋_GB2312"/>
                <w:color w:val="000000"/>
                <w:sz w:val="24"/>
                <w:szCs w:val="24"/>
              </w:rPr>
              <w:t>〔</w:t>
            </w:r>
            <w:r>
              <w:rPr>
                <w:rStyle w:val="96"/>
                <w:rFonts w:hint="eastAsia"/>
                <w:lang w:bidi="ar"/>
              </w:rPr>
              <w:t>2026</w:t>
            </w:r>
            <w:r>
              <w:rPr>
                <w:rFonts w:hint="eastAsia" w:ascii="仿宋_GB2312" w:hAnsi="宋体" w:cs="仿宋_GB2312"/>
                <w:color w:val="000000"/>
                <w:sz w:val="24"/>
                <w:szCs w:val="24"/>
              </w:rPr>
              <w:t>〕</w:t>
            </w:r>
            <w:r>
              <w:rPr>
                <w:rStyle w:val="96"/>
                <w:rFonts w:hint="eastAsia" w:eastAsia="宋体"/>
                <w:lang w:bidi="ar"/>
              </w:rPr>
              <w:t>1</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高速服务区配套设施</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13</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高新区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毕都加油二站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六盘水服务区南侧</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已批待建</w:t>
            </w:r>
          </w:p>
        </w:tc>
        <w:tc>
          <w:tcPr>
            <w:tcW w:w="14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left"/>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六盘水高新科（经）复字</w:t>
            </w:r>
            <w:r>
              <w:rPr>
                <w:rFonts w:hint="eastAsia" w:ascii="仿宋_GB2312" w:hAnsi="宋体" w:cs="仿宋_GB2312"/>
                <w:color w:val="000000"/>
                <w:sz w:val="24"/>
                <w:szCs w:val="24"/>
              </w:rPr>
              <w:t>〔</w:t>
            </w:r>
            <w:r>
              <w:rPr>
                <w:rStyle w:val="96"/>
                <w:rFonts w:hint="eastAsia"/>
                <w:lang w:bidi="ar"/>
              </w:rPr>
              <w:t>2026</w:t>
            </w:r>
            <w:r>
              <w:rPr>
                <w:rFonts w:hint="eastAsia" w:ascii="仿宋_GB2312" w:hAnsi="宋体" w:cs="仿宋_GB2312"/>
                <w:color w:val="000000"/>
                <w:sz w:val="24"/>
                <w:szCs w:val="24"/>
              </w:rPr>
              <w:t>〕</w:t>
            </w:r>
            <w:r>
              <w:rPr>
                <w:rStyle w:val="96"/>
                <w:rFonts w:hint="eastAsia" w:eastAsia="宋体"/>
                <w:lang w:bidi="ar"/>
              </w:rPr>
              <w:t>1</w:t>
            </w:r>
            <w:r>
              <w:rPr>
                <w:rFonts w:hint="eastAsia" w:ascii="仿宋_GB2312" w:hAnsi="宋体" w:cs="仿宋_GB2312"/>
                <w:color w:val="000000"/>
                <w:kern w:val="0"/>
                <w:sz w:val="24"/>
                <w:szCs w:val="24"/>
                <w:lang w:bidi="ar"/>
              </w:rPr>
              <w:t>号</w:t>
            </w: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高速服务区配套设施</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木岗加气加氢站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木岗镇</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新建加氢（加气）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其他商业用地</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梭戛木岗加气加氢站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梭戛乡境内</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新建加氢（加气）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其他商业用地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16</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六枝特区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郎岱镇加氢站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郎岱镇境内（服务于中寨乡、牂牁镇、月亮河乡等南部片区乡镇）</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新建加氢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其他商业用地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17</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威红加油站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亦资街道威红公路旁（下西铺村）</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18</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新桥加油站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盘州市大山镇高山村</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19</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松河加油站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盘州市鸡场坪镇松河乡歹马村葫芦口</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20</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官胜二加油站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盘州市刘官街道镇胜高速公路（贵阳方向）</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21</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胜境关收费站加油站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盘州市胜境街道盘州市胜境关收费站加油站</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22</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柏果加油站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盘州市柏果镇东升村</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23</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安盘高速鸡场坪东服务区加油站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盘州市安盘高速鸡场坪东服务区（北侧）</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24</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安盘高速鸡场坪东服务区加油站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盘州市安盘高速鸡场坪东服务区（南侧）</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80"/>
              <w:rPr>
                <w:rFonts w:hint="eastAsia" w:ascii="仿宋_GB2312" w:hAnsi="宋体" w:cs="仿宋_GB2312"/>
                <w:color w:val="00000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25</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盘北经开区加氢站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盘州市鸡场坪高速路口出口</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新建加氢（加气）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26</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利红油氢综合能源站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盘州市两河街道沙坡居委会竹箐河大桥旁</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27</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盘州市银苑加油站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盘州市保田镇盘南园区高山村</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28</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盘州市响水加油站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盘州市响水镇汤章居委会</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29</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白云大道加油站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水城经济开发区老鹰山街道</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公共设施营业网点用地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30</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发耳煤电加油站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水城区发耳镇营昌路</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加油加气站用地</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31</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祥润加油站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贵州省六盘水市水城县双水街道办以朵村四组</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加油加气站用地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32</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恒通加油站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水城县都格镇都格村尾巴组</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加油加气站用地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33</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比德加油站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比德镇</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公共设施营业网点用地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34</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水城经济开发区加氢加气一站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贵州省六盘水市水城区尖山街道尖山社区发克组</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新建（灰氢、</w:t>
            </w:r>
            <w:r>
              <w:rPr>
                <w:rStyle w:val="97"/>
                <w:lang w:bidi="ar"/>
              </w:rPr>
              <w:t>LNG</w:t>
            </w:r>
            <w:r>
              <w:rPr>
                <w:rFonts w:hint="eastAsia" w:ascii="仿宋_GB2312" w:hAnsi="宋体" w:cs="仿宋_GB2312"/>
                <w:color w:val="000000"/>
                <w:kern w:val="0"/>
                <w:sz w:val="24"/>
                <w:szCs w:val="24"/>
                <w:lang w:bidi="ar"/>
              </w:rPr>
              <w:t>）</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公共设施营业网点用地</w:t>
            </w:r>
          </w:p>
        </w:tc>
      </w:tr>
      <w:tr>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35</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水城经济开发区加氢加气二站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贵州省六盘水市水城区老鹰山街道中坡社区八八煤矿</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新建</w:t>
            </w:r>
            <w:r>
              <w:rPr>
                <w:rFonts w:hint="eastAsia" w:cs="仿宋_GB2312"/>
                <w:color w:val="000000"/>
                <w:kern w:val="0"/>
                <w:sz w:val="24"/>
                <w:szCs w:val="24"/>
                <w:lang w:bidi="ar"/>
              </w:rPr>
              <w:t>（灰氢、LNG）</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等线" w:cs="宋体"/>
                <w:kern w:val="0"/>
                <w:sz w:val="24"/>
                <w:szCs w:val="24"/>
              </w:rPr>
              <w:t>将按要求衔接规划</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36</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钟山区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钟山区德丰加油站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三块田2号桥</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原站增设加气（加氢）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商服用地</w:t>
            </w:r>
          </w:p>
        </w:tc>
      </w:tr>
      <w:tr>
        <w:tblPrEx>
          <w:tblCellMar>
            <w:top w:w="0" w:type="dxa"/>
            <w:left w:w="108" w:type="dxa"/>
            <w:bottom w:w="0" w:type="dxa"/>
            <w:right w:w="108" w:type="dxa"/>
          </w:tblCellMar>
        </w:tblPrEx>
        <w:trPr>
          <w:jc w:val="center"/>
        </w:trPr>
        <w:tc>
          <w:tcPr>
            <w:tcW w:w="55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37</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钟山区</w:t>
            </w:r>
          </w:p>
        </w:tc>
        <w:tc>
          <w:tcPr>
            <w:tcW w:w="14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麒麟北加氢站</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等线" w:cs="宋体"/>
                <w:kern w:val="0"/>
                <w:sz w:val="24"/>
                <w:szCs w:val="24"/>
              </w:rPr>
              <w:t>麒麟隧道出口</w:t>
            </w:r>
          </w:p>
        </w:tc>
        <w:tc>
          <w:tcPr>
            <w:tcW w:w="118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新建加氢</w:t>
            </w:r>
          </w:p>
        </w:tc>
        <w:tc>
          <w:tcPr>
            <w:tcW w:w="7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拟建</w:t>
            </w:r>
          </w:p>
        </w:tc>
        <w:tc>
          <w:tcPr>
            <w:tcW w:w="1441" w:type="dxa"/>
            <w:tcBorders>
              <w:top w:val="single" w:color="000000" w:sz="4" w:space="0"/>
              <w:left w:val="single" w:color="000000" w:sz="4" w:space="0"/>
              <w:bottom w:val="single" w:color="000000" w:sz="4" w:space="0"/>
              <w:right w:val="single" w:color="000000" w:sz="4" w:space="0"/>
            </w:tcBorders>
            <w:vAlign w:val="center"/>
          </w:tcPr>
          <w:p>
            <w:pPr>
              <w:snapToGrid w:val="0"/>
              <w:spacing w:line="320" w:lineRule="exact"/>
              <w:ind w:firstLine="440"/>
              <w:rPr>
                <w:rFonts w:hint="eastAsia" w:ascii="宋体" w:hAnsi="宋体" w:eastAsia="宋体" w:cs="宋体"/>
                <w:color w:val="000000"/>
                <w:sz w:val="22"/>
              </w:rPr>
            </w:pPr>
          </w:p>
        </w:tc>
        <w:tc>
          <w:tcPr>
            <w:tcW w:w="131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20" w:lineRule="exact"/>
              <w:ind w:firstLine="0" w:firstLineChars="0"/>
              <w:jc w:val="center"/>
              <w:textAlignment w:val="center"/>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工业用地</w:t>
            </w:r>
          </w:p>
        </w:tc>
      </w:tr>
    </w:tbl>
    <w:p>
      <w:pPr>
        <w:ind w:firstLine="0" w:firstLineChars="0"/>
      </w:pPr>
    </w:p>
    <w:sectPr>
      <w:pgSz w:w="11906" w:h="16838"/>
      <w:pgMar w:top="1440" w:right="1800" w:bottom="1440" w:left="1800" w:header="851" w:footer="850"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Weibei SC">
    <w:altName w:val="宋体"/>
    <w:panose1 w:val="00000000000000000000"/>
    <w:charset w:val="80"/>
    <w:family w:val="script"/>
    <w:pitch w:val="default"/>
    <w:sig w:usb0="00000000" w:usb1="00000000" w:usb2="00080016" w:usb3="00000000" w:csb0="00060187" w:csb1="00000000"/>
  </w:font>
  <w:font w:name="方正小标宋简体">
    <w:panose1 w:val="02000000000000000000"/>
    <w:charset w:val="86"/>
    <w:family w:val="auto"/>
    <w:pitch w:val="default"/>
    <w:sig w:usb0="A00002BF" w:usb1="184F6CFA" w:usb2="00000012"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MS Gothic">
    <w:altName w:val="宋体"/>
    <w:panose1 w:val="020B0609070205080204"/>
    <w:charset w:val="80"/>
    <w:family w:val="modern"/>
    <w:pitch w:val="default"/>
    <w:sig w:usb0="00000000" w:usb1="00000000" w:usb2="08000012" w:usb3="00000000" w:csb0="4002009F" w:csb1="DFD7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等线">
    <w:altName w:val="URW Bookman"/>
    <w:panose1 w:val="00000000000000000000"/>
    <w:charset w:val="00"/>
    <w:family w:val="auto"/>
    <w:pitch w:val="default"/>
    <w:sig w:usb0="00000000" w:usb1="00000000" w:usb2="00000000" w:usb3="00000000" w:csb0="00000000" w:csb1="00000000"/>
  </w:font>
  <w:font w:name="URW Bookman">
    <w:altName w:val="Times New Roman"/>
    <w:panose1 w:val="00000400000000000000"/>
    <w:charset w:val="00"/>
    <w:family w:val="auto"/>
    <w:pitch w:val="default"/>
    <w:sig w:usb0="00000000" w:usb1="00000000" w:usb2="00000000" w:usb3="00000000" w:csb0="0000000D" w:csb1="00000000"/>
  </w:font>
  <w:font w:name="Noto Sans CJK JP Regular">
    <w:panose1 w:val="020B05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13"/>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56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i8L5FQIAABs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eurMv9w8SC5MqiR5jg3m6TYbbp+uI2tj5jN&#10;2zM9guOrBsXXLMQH5sEHNAyOx3s8UlkUsb1Eyc76z3+zp3isCV5KWvCrogYHQIl6Z7C+RMVB8IOw&#10;GQSz17cWhB3jdhzPIn7wUQ2i9FZ/AvGXqYZkKiAxMxzVsJpBvI3QeicOiIvl8qKDfI7FtXl0vF9m&#10;wjK45T4CzwxzwugMTA8dGJgX1V9Loviveo56vunF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fi8L5FQIAABsEAAAOAAAAAAAAAAEAIAAAADUBAABkcnMvZTJvRG9jLnhtbFBLBQYAAAAABgAG&#10;AFkBAAC8BQAAAAA=&#10;">
              <v:fill on="f" focussize="0,0"/>
              <v:stroke on="f" weight="0.5pt"/>
              <v:imagedata o:title=""/>
              <o:lock v:ext="edit" aspectratio="f"/>
              <v:textbox inset="0mm,0mm,0mm,0mm" style="mso-fit-shape-to-text:t;">
                <w:txbxContent>
                  <w:p>
                    <w:pPr>
                      <w:pStyle w:val="13"/>
                      <w:ind w:firstLine="56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7fgaMUAgAAGwQAAA4AAAAAAAAAAQAgAAAANQEAAGRycy9lMm9Eb2MueG1sUEsFBgAAAAAGAAYA&#10;WQEAALsFAAAAAA==&#10;">
              <v:fill on="f" focussize="0,0"/>
              <v:stroke on="f" weight="0.5pt"/>
              <v:imagedata o:title=""/>
              <o:lock v:ext="edit" aspectratio="f"/>
              <v:textbox inset="0mm,0mm,0mm,0mm" style="mso-fit-shape-to-text:t;">
                <w:txbxContent>
                  <w:p>
                    <w:pPr>
                      <w:pStyle w:val="13"/>
                      <w:ind w:firstLine="0" w:firstLineChars="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-244475</wp:posOffset>
              </wp:positionV>
              <wp:extent cx="1202690" cy="274320"/>
              <wp:effectExtent l="0" t="0" r="0" b="11430"/>
              <wp:wrapNone/>
              <wp:docPr id="18" name="文本框 18"/>
              <wp:cNvGraphicFramePr/>
              <a:graphic xmlns:a="http://schemas.openxmlformats.org/drawingml/2006/main">
                <a:graphicData uri="http://schemas.microsoft.com/office/word/2010/wordprocessingShape">
                  <wps:wsp>
                    <wps:cNvSpPr txBox="true"/>
                    <wps:spPr>
                      <a:xfrm>
                        <a:off x="0" y="0"/>
                        <a:ext cx="1202934" cy="2743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9.25pt;height:21.6pt;width:94.7pt;mso-position-horizontal:right;mso-position-horizontal-relative:margin;z-index:251665408;mso-width-relative:page;mso-height-relative:page;" filled="f" stroked="f" coordsize="21600,21600" o:gfxdata="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DY+mMfVAAAABgEAAA8AAAAAAAAAAQAgAAAAOAAAAGRycy9kb3ducmV2LnhtbFBL&#10;AQIUABQAAAAIAIdO4kCaqX7AHAIAABwEAAAOAAAAAAAAAAEAIAAAADoBAABkcnMvZTJvRG9jLnht&#10;bFBLBQYAAAAABgAGAFkBAADIBQAAAAA=&#10;">
              <v:fill on="f" focussize="0,0"/>
              <v:stroke on="f" weight="0.5pt"/>
              <v:imagedata o:title=""/>
              <o:lock v:ext="edit" aspectratio="f"/>
              <v:textbox inset="0mm,0mm,0mm,0mm">
                <w:txbxContent>
                  <w:p>
                    <w:pPr>
                      <w:pStyle w:val="13"/>
                      <w:ind w:firstLine="0" w:firstLineChars="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firstLine="0" w:firstLineChars="0"/>
    </w:pPr>
    <w: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-201295</wp:posOffset>
              </wp:positionV>
              <wp:extent cx="963930" cy="260350"/>
              <wp:effectExtent l="0" t="0" r="8255" b="6985"/>
              <wp:wrapNone/>
              <wp:docPr id="19" name="文本框 19"/>
              <wp:cNvGraphicFramePr/>
              <a:graphic xmlns:a="http://schemas.openxmlformats.org/drawingml/2006/main">
                <a:graphicData uri="http://schemas.microsoft.com/office/word/2010/wordprocessingShape">
                  <wps:wsp>
                    <wps:cNvSpPr txBox="true"/>
                    <wps:spPr>
                      <a:xfrm>
                        <a:off x="0" y="0"/>
                        <a:ext cx="963637" cy="26025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5.85pt;height:20.5pt;width:75.9pt;mso-position-horizontal:left;mso-position-horizontal-relative:margin;z-index:251666432;mso-width-relative:page;mso-height-relative:page;" filled="f" stroked="f" coordsize="21600,21600" o:gfxdata="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Hr1zo7UAAAABgEAAA8AAAAAAAAAAQAgAAAAOAAAAGRycy9kb3ducmV2LnhtbFBL&#10;AQIUABQAAAAIAIdO4kD2bARyHQIAABsEAAAOAAAAAAAAAAEAIAAAADkBAABkcnMvZTJvRG9jLnht&#10;bFBLBQYAAAAABgAGAFkBAADIBQAAAAA=&#10;">
              <v:fill on="f" focussize="0,0"/>
              <v:stroke on="f" weight="0.5pt"/>
              <v:imagedata o:title=""/>
              <o:lock v:ext="edit" aspectratio="f"/>
              <v:textbox inset="0mm,0mm,0mm,0mm">
                <w:txbxContent>
                  <w:p>
                    <w:pPr>
                      <w:pStyle w:val="13"/>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147320</wp:posOffset>
              </wp:positionV>
              <wp:extent cx="1828800" cy="1828800"/>
              <wp:effectExtent l="0" t="0" r="12065" b="10795"/>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560"/>
                            <w:rPr>
                              <w:rFonts w:hint="eastAsia" w:ascii="宋体" w:hAnsi="宋体" w:eastAsia="宋体" w:cs="仿宋_GB2312"/>
                              <w:sz w:val="28"/>
                              <w:szCs w:val="28"/>
                            </w:rPr>
                          </w:pPr>
                          <w:r>
                            <w:rPr>
                              <w:rFonts w:hint="eastAsia" w:ascii="宋体" w:hAnsi="宋体" w:eastAsia="宋体" w:cs="仿宋_GB2312"/>
                              <w:sz w:val="28"/>
                              <w:szCs w:val="28"/>
                            </w:rPr>
                            <w:t xml:space="preserve">— </w:t>
                          </w: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PAGE  \* MERGEFORMAT </w:instrText>
                          </w:r>
                          <w:r>
                            <w:rPr>
                              <w:rFonts w:hint="eastAsia" w:ascii="宋体" w:hAnsi="宋体" w:eastAsia="宋体" w:cs="仿宋_GB2312"/>
                              <w:sz w:val="28"/>
                              <w:szCs w:val="28"/>
                            </w:rPr>
                            <w:fldChar w:fldCharType="separate"/>
                          </w:r>
                          <w:r>
                            <w:rPr>
                              <w:rFonts w:hint="eastAsia" w:ascii="宋体" w:hAnsi="宋体" w:eastAsia="宋体" w:cs="仿宋_GB2312"/>
                              <w:sz w:val="28"/>
                              <w:szCs w:val="28"/>
                            </w:rPr>
                            <w:t>55</w:t>
                          </w:r>
                          <w:r>
                            <w:rPr>
                              <w:rFonts w:hint="eastAsia" w:ascii="宋体" w:hAnsi="宋体" w:eastAsia="宋体" w:cs="仿宋_GB2312"/>
                              <w:sz w:val="28"/>
                              <w:szCs w:val="28"/>
                            </w:rPr>
                            <w:fldChar w:fldCharType="end"/>
                          </w:r>
                          <w:r>
                            <w:rPr>
                              <w:rFonts w:hint="eastAsia" w:ascii="宋体" w:hAnsi="宋体" w:eastAsia="宋体" w:cs="仿宋_GB2312"/>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11.6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AvKZvC1AAAAAcBAAAPAAAAAAAAAAEAIAAAADgAAABkcnMvZG93bnJldi54bWxQSwECFAAUAAAA&#10;CACHTuJAv6vjvBUCAAAZBAAADgAAAAAAAAABACAAAAA5AQAAZHJzL2Uyb0RvYy54bWxQSwUGAAAA&#10;AAYABgBZAQAAwAUAAAAA&#10;">
              <v:fill on="f" focussize="0,0"/>
              <v:stroke on="f" weight="0.5pt"/>
              <v:imagedata o:title=""/>
              <o:lock v:ext="edit" aspectratio="f"/>
              <v:textbox inset="0mm,0mm,0mm,0mm" style="mso-fit-shape-to-text:t;">
                <w:txbxContent>
                  <w:p>
                    <w:pPr>
                      <w:pStyle w:val="13"/>
                      <w:ind w:firstLine="560"/>
                      <w:rPr>
                        <w:rFonts w:hint="eastAsia" w:ascii="宋体" w:hAnsi="宋体" w:eastAsia="宋体" w:cs="仿宋_GB2312"/>
                        <w:sz w:val="28"/>
                        <w:szCs w:val="28"/>
                      </w:rPr>
                    </w:pPr>
                    <w:r>
                      <w:rPr>
                        <w:rFonts w:hint="eastAsia" w:ascii="宋体" w:hAnsi="宋体" w:eastAsia="宋体" w:cs="仿宋_GB2312"/>
                        <w:sz w:val="28"/>
                        <w:szCs w:val="28"/>
                      </w:rPr>
                      <w:t xml:space="preserve">— </w:t>
                    </w: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PAGE  \* MERGEFORMAT </w:instrText>
                    </w:r>
                    <w:r>
                      <w:rPr>
                        <w:rFonts w:hint="eastAsia" w:ascii="宋体" w:hAnsi="宋体" w:eastAsia="宋体" w:cs="仿宋_GB2312"/>
                        <w:sz w:val="28"/>
                        <w:szCs w:val="28"/>
                      </w:rPr>
                      <w:fldChar w:fldCharType="separate"/>
                    </w:r>
                    <w:r>
                      <w:rPr>
                        <w:rFonts w:hint="eastAsia" w:ascii="宋体" w:hAnsi="宋体" w:eastAsia="宋体" w:cs="仿宋_GB2312"/>
                        <w:sz w:val="28"/>
                        <w:szCs w:val="28"/>
                      </w:rPr>
                      <w:t>55</w:t>
                    </w:r>
                    <w:r>
                      <w:rPr>
                        <w:rFonts w:hint="eastAsia" w:ascii="宋体" w:hAnsi="宋体" w:eastAsia="宋体" w:cs="仿宋_GB2312"/>
                        <w:sz w:val="28"/>
                        <w:szCs w:val="28"/>
                      </w:rPr>
                      <w:fldChar w:fldCharType="end"/>
                    </w:r>
                    <w:r>
                      <w:rPr>
                        <w:rFonts w:hint="eastAsia" w:ascii="宋体" w:hAnsi="宋体" w:eastAsia="宋体"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649CF5"/>
    <w:multiLevelType w:val="multilevel"/>
    <w:tmpl w:val="5C649CF5"/>
    <w:lvl w:ilvl="0" w:tentative="0">
      <w:start w:val="1"/>
      <w:numFmt w:val="decimal"/>
      <w:pStyle w:val="28"/>
      <w:suff w:val="space"/>
      <w:lvlText w:val="表%1 "/>
      <w:lvlJc w:val="left"/>
      <w:pPr>
        <w:ind w:left="2660" w:hanging="2660"/>
      </w:pPr>
      <w:rPr>
        <w:rFonts w:hint="default" w:ascii="Times New Roman" w:hAnsi="Times New Roman" w:eastAsia="黑体"/>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1">
    <w:nsid w:val="7DD47559"/>
    <w:multiLevelType w:val="multilevel"/>
    <w:tmpl w:val="7DD47559"/>
    <w:lvl w:ilvl="0" w:tentative="0">
      <w:start w:val="1"/>
      <w:numFmt w:val="decimal"/>
      <w:pStyle w:val="81"/>
      <w:suff w:val="space"/>
      <w:lvlText w:val="图%1 "/>
      <w:lvlJc w:val="center"/>
      <w:pPr>
        <w:ind w:left="420" w:hanging="420"/>
      </w:pPr>
      <w:rPr>
        <w:rFonts w:hint="default" w:ascii="Times New Roman" w:hAnsi="Times New Roman"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evenAndOddHeaders w:val="true"/>
  <w:drawingGridHorizontalSpacing w:val="160"/>
  <w:drawingGridVerticalSpacing w:val="435"/>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3MDFmZDcxYmY1NWE0M2VmMzRlMzQ2ODkxMWJkZmUifQ=="/>
  </w:docVars>
  <w:rsids>
    <w:rsidRoot w:val="00EB1C6A"/>
    <w:rsid w:val="0000298A"/>
    <w:rsid w:val="00003784"/>
    <w:rsid w:val="0000551F"/>
    <w:rsid w:val="0001163F"/>
    <w:rsid w:val="00012CFB"/>
    <w:rsid w:val="000214F9"/>
    <w:rsid w:val="00023E39"/>
    <w:rsid w:val="00024A1F"/>
    <w:rsid w:val="00024B8D"/>
    <w:rsid w:val="000262D1"/>
    <w:rsid w:val="00036779"/>
    <w:rsid w:val="00037908"/>
    <w:rsid w:val="000509E8"/>
    <w:rsid w:val="00053CFD"/>
    <w:rsid w:val="000670E0"/>
    <w:rsid w:val="00072A6A"/>
    <w:rsid w:val="000764B4"/>
    <w:rsid w:val="00080682"/>
    <w:rsid w:val="000806AF"/>
    <w:rsid w:val="00084085"/>
    <w:rsid w:val="000A254D"/>
    <w:rsid w:val="000B16DF"/>
    <w:rsid w:val="000B2068"/>
    <w:rsid w:val="000C321C"/>
    <w:rsid w:val="000C72EE"/>
    <w:rsid w:val="000D07B3"/>
    <w:rsid w:val="000D25F4"/>
    <w:rsid w:val="000D4445"/>
    <w:rsid w:val="000E25B0"/>
    <w:rsid w:val="000E39C7"/>
    <w:rsid w:val="000F4691"/>
    <w:rsid w:val="000F6852"/>
    <w:rsid w:val="000F6B03"/>
    <w:rsid w:val="0010127F"/>
    <w:rsid w:val="00101B4F"/>
    <w:rsid w:val="00103897"/>
    <w:rsid w:val="00103C66"/>
    <w:rsid w:val="00105840"/>
    <w:rsid w:val="00123DF1"/>
    <w:rsid w:val="00124C79"/>
    <w:rsid w:val="001273CB"/>
    <w:rsid w:val="0013097F"/>
    <w:rsid w:val="001320B2"/>
    <w:rsid w:val="001354A5"/>
    <w:rsid w:val="00146BB6"/>
    <w:rsid w:val="00153188"/>
    <w:rsid w:val="00155351"/>
    <w:rsid w:val="00162FFD"/>
    <w:rsid w:val="00164EBC"/>
    <w:rsid w:val="0017135B"/>
    <w:rsid w:val="001860C7"/>
    <w:rsid w:val="0019674A"/>
    <w:rsid w:val="001B16F7"/>
    <w:rsid w:val="001B4552"/>
    <w:rsid w:val="001B7BC1"/>
    <w:rsid w:val="001D26AB"/>
    <w:rsid w:val="001E3ABA"/>
    <w:rsid w:val="001F538F"/>
    <w:rsid w:val="001F7E2E"/>
    <w:rsid w:val="002005A6"/>
    <w:rsid w:val="00201781"/>
    <w:rsid w:val="0020234B"/>
    <w:rsid w:val="00204CE6"/>
    <w:rsid w:val="002163DB"/>
    <w:rsid w:val="002363B2"/>
    <w:rsid w:val="0025584A"/>
    <w:rsid w:val="0025662B"/>
    <w:rsid w:val="0026480B"/>
    <w:rsid w:val="00265237"/>
    <w:rsid w:val="00265B91"/>
    <w:rsid w:val="002707F0"/>
    <w:rsid w:val="0027096A"/>
    <w:rsid w:val="002746CC"/>
    <w:rsid w:val="002808CD"/>
    <w:rsid w:val="002813AE"/>
    <w:rsid w:val="002826DC"/>
    <w:rsid w:val="002829EB"/>
    <w:rsid w:val="00283C88"/>
    <w:rsid w:val="0028554A"/>
    <w:rsid w:val="0028629A"/>
    <w:rsid w:val="00286B57"/>
    <w:rsid w:val="00286F9A"/>
    <w:rsid w:val="002936EF"/>
    <w:rsid w:val="00294992"/>
    <w:rsid w:val="00296930"/>
    <w:rsid w:val="00296BA4"/>
    <w:rsid w:val="002A03D5"/>
    <w:rsid w:val="002A063C"/>
    <w:rsid w:val="002B46C8"/>
    <w:rsid w:val="002B7441"/>
    <w:rsid w:val="002C1D08"/>
    <w:rsid w:val="002C7D43"/>
    <w:rsid w:val="002D3313"/>
    <w:rsid w:val="002D674F"/>
    <w:rsid w:val="002E18C0"/>
    <w:rsid w:val="002F1B2B"/>
    <w:rsid w:val="002F2FE7"/>
    <w:rsid w:val="002F3DB6"/>
    <w:rsid w:val="003063CF"/>
    <w:rsid w:val="00311354"/>
    <w:rsid w:val="003132A4"/>
    <w:rsid w:val="00316524"/>
    <w:rsid w:val="003243F9"/>
    <w:rsid w:val="00327C02"/>
    <w:rsid w:val="00342CF0"/>
    <w:rsid w:val="00342D47"/>
    <w:rsid w:val="0034564B"/>
    <w:rsid w:val="00352E9C"/>
    <w:rsid w:val="00354400"/>
    <w:rsid w:val="00357CD8"/>
    <w:rsid w:val="0036199B"/>
    <w:rsid w:val="003717BB"/>
    <w:rsid w:val="00376466"/>
    <w:rsid w:val="0037699A"/>
    <w:rsid w:val="003B08F1"/>
    <w:rsid w:val="003B2DFE"/>
    <w:rsid w:val="003B391C"/>
    <w:rsid w:val="003B68B8"/>
    <w:rsid w:val="003C16E3"/>
    <w:rsid w:val="003C6735"/>
    <w:rsid w:val="003C6EBE"/>
    <w:rsid w:val="003D3FE3"/>
    <w:rsid w:val="003D53B6"/>
    <w:rsid w:val="003E0804"/>
    <w:rsid w:val="003E5A50"/>
    <w:rsid w:val="003E600E"/>
    <w:rsid w:val="003E6C21"/>
    <w:rsid w:val="003F0265"/>
    <w:rsid w:val="003F071E"/>
    <w:rsid w:val="003F1482"/>
    <w:rsid w:val="003F79FF"/>
    <w:rsid w:val="00401318"/>
    <w:rsid w:val="00404A45"/>
    <w:rsid w:val="00407B14"/>
    <w:rsid w:val="00414881"/>
    <w:rsid w:val="00432253"/>
    <w:rsid w:val="004345EA"/>
    <w:rsid w:val="00434B43"/>
    <w:rsid w:val="00437A6D"/>
    <w:rsid w:val="004406A3"/>
    <w:rsid w:val="00441F34"/>
    <w:rsid w:val="00445642"/>
    <w:rsid w:val="00461E81"/>
    <w:rsid w:val="00463DF8"/>
    <w:rsid w:val="0047007F"/>
    <w:rsid w:val="00470334"/>
    <w:rsid w:val="00471E3C"/>
    <w:rsid w:val="00474184"/>
    <w:rsid w:val="0048054D"/>
    <w:rsid w:val="0048173F"/>
    <w:rsid w:val="004850D4"/>
    <w:rsid w:val="00485199"/>
    <w:rsid w:val="00492980"/>
    <w:rsid w:val="004A0C17"/>
    <w:rsid w:val="004A7611"/>
    <w:rsid w:val="004B0CE9"/>
    <w:rsid w:val="004B2021"/>
    <w:rsid w:val="004B39E0"/>
    <w:rsid w:val="004B3B6B"/>
    <w:rsid w:val="004B3EC3"/>
    <w:rsid w:val="004B43BE"/>
    <w:rsid w:val="004C35C8"/>
    <w:rsid w:val="004C6F3E"/>
    <w:rsid w:val="004C7F36"/>
    <w:rsid w:val="004D0A6B"/>
    <w:rsid w:val="004D1BF3"/>
    <w:rsid w:val="004D2E96"/>
    <w:rsid w:val="004D3834"/>
    <w:rsid w:val="004D45E3"/>
    <w:rsid w:val="004E1B13"/>
    <w:rsid w:val="004F112D"/>
    <w:rsid w:val="004F22E7"/>
    <w:rsid w:val="00500AF1"/>
    <w:rsid w:val="00500C4D"/>
    <w:rsid w:val="005145E4"/>
    <w:rsid w:val="0052372C"/>
    <w:rsid w:val="00535346"/>
    <w:rsid w:val="0053648B"/>
    <w:rsid w:val="005374D8"/>
    <w:rsid w:val="00542D20"/>
    <w:rsid w:val="00545E8B"/>
    <w:rsid w:val="005511A3"/>
    <w:rsid w:val="00561622"/>
    <w:rsid w:val="0056368A"/>
    <w:rsid w:val="00567068"/>
    <w:rsid w:val="0057102D"/>
    <w:rsid w:val="005729E3"/>
    <w:rsid w:val="00574F9A"/>
    <w:rsid w:val="005750A7"/>
    <w:rsid w:val="00576EEE"/>
    <w:rsid w:val="00580B2D"/>
    <w:rsid w:val="00583581"/>
    <w:rsid w:val="00584433"/>
    <w:rsid w:val="005858BE"/>
    <w:rsid w:val="005866F8"/>
    <w:rsid w:val="005932AC"/>
    <w:rsid w:val="00596934"/>
    <w:rsid w:val="005A1E02"/>
    <w:rsid w:val="005A450F"/>
    <w:rsid w:val="005A4AAB"/>
    <w:rsid w:val="005A5BD6"/>
    <w:rsid w:val="005B1377"/>
    <w:rsid w:val="005B5483"/>
    <w:rsid w:val="005C0F27"/>
    <w:rsid w:val="005C1317"/>
    <w:rsid w:val="005D266D"/>
    <w:rsid w:val="005D3695"/>
    <w:rsid w:val="005E5743"/>
    <w:rsid w:val="005F112C"/>
    <w:rsid w:val="005F31EE"/>
    <w:rsid w:val="005F5314"/>
    <w:rsid w:val="00603CD5"/>
    <w:rsid w:val="00604BB7"/>
    <w:rsid w:val="00606B07"/>
    <w:rsid w:val="006120E8"/>
    <w:rsid w:val="00612E19"/>
    <w:rsid w:val="00613623"/>
    <w:rsid w:val="0061581A"/>
    <w:rsid w:val="00621E49"/>
    <w:rsid w:val="00623DA8"/>
    <w:rsid w:val="0063293B"/>
    <w:rsid w:val="00633441"/>
    <w:rsid w:val="00634EE6"/>
    <w:rsid w:val="006363DD"/>
    <w:rsid w:val="00636E20"/>
    <w:rsid w:val="006377F6"/>
    <w:rsid w:val="00637C6A"/>
    <w:rsid w:val="00646266"/>
    <w:rsid w:val="00646B2D"/>
    <w:rsid w:val="00652AE7"/>
    <w:rsid w:val="006542B8"/>
    <w:rsid w:val="00655E21"/>
    <w:rsid w:val="00665FF7"/>
    <w:rsid w:val="00673527"/>
    <w:rsid w:val="00677574"/>
    <w:rsid w:val="006837AD"/>
    <w:rsid w:val="00684DDE"/>
    <w:rsid w:val="0069155E"/>
    <w:rsid w:val="006A2325"/>
    <w:rsid w:val="006A4856"/>
    <w:rsid w:val="006B64F2"/>
    <w:rsid w:val="006C26DC"/>
    <w:rsid w:val="006E0910"/>
    <w:rsid w:val="006E61B3"/>
    <w:rsid w:val="006E790F"/>
    <w:rsid w:val="006F03EA"/>
    <w:rsid w:val="006F4891"/>
    <w:rsid w:val="007020AF"/>
    <w:rsid w:val="0070559A"/>
    <w:rsid w:val="00705967"/>
    <w:rsid w:val="007104E2"/>
    <w:rsid w:val="007115AE"/>
    <w:rsid w:val="00717044"/>
    <w:rsid w:val="00720098"/>
    <w:rsid w:val="00720B4D"/>
    <w:rsid w:val="00722553"/>
    <w:rsid w:val="007229DB"/>
    <w:rsid w:val="0072487A"/>
    <w:rsid w:val="00734A45"/>
    <w:rsid w:val="00753917"/>
    <w:rsid w:val="00766BCC"/>
    <w:rsid w:val="007703F3"/>
    <w:rsid w:val="0078075D"/>
    <w:rsid w:val="00782333"/>
    <w:rsid w:val="0078334C"/>
    <w:rsid w:val="007838DD"/>
    <w:rsid w:val="0078420C"/>
    <w:rsid w:val="0078610E"/>
    <w:rsid w:val="007929B6"/>
    <w:rsid w:val="00794C5D"/>
    <w:rsid w:val="007A14D1"/>
    <w:rsid w:val="007A6599"/>
    <w:rsid w:val="007B04F1"/>
    <w:rsid w:val="007B14D8"/>
    <w:rsid w:val="007B4810"/>
    <w:rsid w:val="007B6B20"/>
    <w:rsid w:val="007C16C0"/>
    <w:rsid w:val="007C26D8"/>
    <w:rsid w:val="007C79D4"/>
    <w:rsid w:val="007D022E"/>
    <w:rsid w:val="007D0502"/>
    <w:rsid w:val="007D476A"/>
    <w:rsid w:val="007D649E"/>
    <w:rsid w:val="007E083B"/>
    <w:rsid w:val="007E4315"/>
    <w:rsid w:val="007F28AD"/>
    <w:rsid w:val="007F50F1"/>
    <w:rsid w:val="008006AD"/>
    <w:rsid w:val="008051DD"/>
    <w:rsid w:val="00811392"/>
    <w:rsid w:val="008163B1"/>
    <w:rsid w:val="00826926"/>
    <w:rsid w:val="008276CE"/>
    <w:rsid w:val="0083582F"/>
    <w:rsid w:val="00852D18"/>
    <w:rsid w:val="00861AE8"/>
    <w:rsid w:val="00864520"/>
    <w:rsid w:val="00865985"/>
    <w:rsid w:val="00865B54"/>
    <w:rsid w:val="00870BCA"/>
    <w:rsid w:val="00870D50"/>
    <w:rsid w:val="00873632"/>
    <w:rsid w:val="0087430F"/>
    <w:rsid w:val="0087515E"/>
    <w:rsid w:val="00891603"/>
    <w:rsid w:val="008927AC"/>
    <w:rsid w:val="008927C6"/>
    <w:rsid w:val="0089292C"/>
    <w:rsid w:val="00893B9E"/>
    <w:rsid w:val="008A416F"/>
    <w:rsid w:val="008B190D"/>
    <w:rsid w:val="008B1C93"/>
    <w:rsid w:val="008B2E0B"/>
    <w:rsid w:val="008C3B6E"/>
    <w:rsid w:val="008D0882"/>
    <w:rsid w:val="008D1B9D"/>
    <w:rsid w:val="008E371C"/>
    <w:rsid w:val="008E696B"/>
    <w:rsid w:val="008F62CD"/>
    <w:rsid w:val="009059E7"/>
    <w:rsid w:val="0091146C"/>
    <w:rsid w:val="0092120D"/>
    <w:rsid w:val="00922B1E"/>
    <w:rsid w:val="009244E6"/>
    <w:rsid w:val="00933276"/>
    <w:rsid w:val="00935E18"/>
    <w:rsid w:val="009361F0"/>
    <w:rsid w:val="00945B99"/>
    <w:rsid w:val="009463AD"/>
    <w:rsid w:val="0095086A"/>
    <w:rsid w:val="00950B65"/>
    <w:rsid w:val="00952403"/>
    <w:rsid w:val="0095579C"/>
    <w:rsid w:val="00965FF7"/>
    <w:rsid w:val="00966C4D"/>
    <w:rsid w:val="009678F2"/>
    <w:rsid w:val="00972147"/>
    <w:rsid w:val="00972C60"/>
    <w:rsid w:val="00972C77"/>
    <w:rsid w:val="00973A97"/>
    <w:rsid w:val="0097651F"/>
    <w:rsid w:val="00984A16"/>
    <w:rsid w:val="00986CE2"/>
    <w:rsid w:val="00990E39"/>
    <w:rsid w:val="00995C4B"/>
    <w:rsid w:val="009A0F8D"/>
    <w:rsid w:val="009A20C9"/>
    <w:rsid w:val="009B540B"/>
    <w:rsid w:val="009B6547"/>
    <w:rsid w:val="009C0969"/>
    <w:rsid w:val="009C20CB"/>
    <w:rsid w:val="009C471B"/>
    <w:rsid w:val="009D2643"/>
    <w:rsid w:val="009D30B4"/>
    <w:rsid w:val="009E144B"/>
    <w:rsid w:val="009E4E35"/>
    <w:rsid w:val="009F0432"/>
    <w:rsid w:val="009F0CE3"/>
    <w:rsid w:val="009F0D15"/>
    <w:rsid w:val="009F3919"/>
    <w:rsid w:val="009F4D10"/>
    <w:rsid w:val="00A00C9A"/>
    <w:rsid w:val="00A0127D"/>
    <w:rsid w:val="00A023B4"/>
    <w:rsid w:val="00A170ED"/>
    <w:rsid w:val="00A37065"/>
    <w:rsid w:val="00A433EC"/>
    <w:rsid w:val="00A46016"/>
    <w:rsid w:val="00A50DD5"/>
    <w:rsid w:val="00A53B1D"/>
    <w:rsid w:val="00A6009A"/>
    <w:rsid w:val="00A712FA"/>
    <w:rsid w:val="00A76E58"/>
    <w:rsid w:val="00A805D5"/>
    <w:rsid w:val="00A84072"/>
    <w:rsid w:val="00A906CE"/>
    <w:rsid w:val="00A92076"/>
    <w:rsid w:val="00AA1041"/>
    <w:rsid w:val="00AA703F"/>
    <w:rsid w:val="00AB52CF"/>
    <w:rsid w:val="00AC2944"/>
    <w:rsid w:val="00AC66FB"/>
    <w:rsid w:val="00AD1065"/>
    <w:rsid w:val="00AD3B33"/>
    <w:rsid w:val="00AD54EB"/>
    <w:rsid w:val="00AD5A67"/>
    <w:rsid w:val="00AE5A25"/>
    <w:rsid w:val="00AF55A7"/>
    <w:rsid w:val="00B0501E"/>
    <w:rsid w:val="00B071C6"/>
    <w:rsid w:val="00B106C0"/>
    <w:rsid w:val="00B11E3B"/>
    <w:rsid w:val="00B238BA"/>
    <w:rsid w:val="00B243F2"/>
    <w:rsid w:val="00B31FE6"/>
    <w:rsid w:val="00B3267E"/>
    <w:rsid w:val="00B329B8"/>
    <w:rsid w:val="00B33171"/>
    <w:rsid w:val="00B41B56"/>
    <w:rsid w:val="00B55B56"/>
    <w:rsid w:val="00B57E2F"/>
    <w:rsid w:val="00B66C7C"/>
    <w:rsid w:val="00B66CE2"/>
    <w:rsid w:val="00B8108B"/>
    <w:rsid w:val="00B87208"/>
    <w:rsid w:val="00B90914"/>
    <w:rsid w:val="00B91CB0"/>
    <w:rsid w:val="00BA0D31"/>
    <w:rsid w:val="00BA3F3A"/>
    <w:rsid w:val="00BA4E54"/>
    <w:rsid w:val="00BB1A8E"/>
    <w:rsid w:val="00BC12F6"/>
    <w:rsid w:val="00BD7F90"/>
    <w:rsid w:val="00BE1226"/>
    <w:rsid w:val="00BE5379"/>
    <w:rsid w:val="00BE755E"/>
    <w:rsid w:val="00BF1D1C"/>
    <w:rsid w:val="00BF5582"/>
    <w:rsid w:val="00BF657A"/>
    <w:rsid w:val="00C00194"/>
    <w:rsid w:val="00C00493"/>
    <w:rsid w:val="00C10D15"/>
    <w:rsid w:val="00C1236F"/>
    <w:rsid w:val="00C12DE3"/>
    <w:rsid w:val="00C13642"/>
    <w:rsid w:val="00C206EA"/>
    <w:rsid w:val="00C2079D"/>
    <w:rsid w:val="00C20ED7"/>
    <w:rsid w:val="00C20EFD"/>
    <w:rsid w:val="00C30E97"/>
    <w:rsid w:val="00C310BD"/>
    <w:rsid w:val="00C4740F"/>
    <w:rsid w:val="00C54CF0"/>
    <w:rsid w:val="00C551A3"/>
    <w:rsid w:val="00C553A7"/>
    <w:rsid w:val="00C56DA5"/>
    <w:rsid w:val="00C57218"/>
    <w:rsid w:val="00C57827"/>
    <w:rsid w:val="00C61DFB"/>
    <w:rsid w:val="00C63148"/>
    <w:rsid w:val="00C70204"/>
    <w:rsid w:val="00C7020A"/>
    <w:rsid w:val="00C74236"/>
    <w:rsid w:val="00C7593D"/>
    <w:rsid w:val="00C76BF0"/>
    <w:rsid w:val="00C81221"/>
    <w:rsid w:val="00C82E2B"/>
    <w:rsid w:val="00C86EC5"/>
    <w:rsid w:val="00C918A0"/>
    <w:rsid w:val="00C955B0"/>
    <w:rsid w:val="00C95921"/>
    <w:rsid w:val="00C9639D"/>
    <w:rsid w:val="00CA7040"/>
    <w:rsid w:val="00CA720F"/>
    <w:rsid w:val="00CA7FD8"/>
    <w:rsid w:val="00CC2C99"/>
    <w:rsid w:val="00CC368F"/>
    <w:rsid w:val="00CC51D0"/>
    <w:rsid w:val="00CC5BCB"/>
    <w:rsid w:val="00CC6BCB"/>
    <w:rsid w:val="00CC7C9A"/>
    <w:rsid w:val="00CD3031"/>
    <w:rsid w:val="00CD555A"/>
    <w:rsid w:val="00CD55CC"/>
    <w:rsid w:val="00CE4136"/>
    <w:rsid w:val="00CF068A"/>
    <w:rsid w:val="00CF7F80"/>
    <w:rsid w:val="00D00FE6"/>
    <w:rsid w:val="00D0536E"/>
    <w:rsid w:val="00D05DDF"/>
    <w:rsid w:val="00D1032A"/>
    <w:rsid w:val="00D17849"/>
    <w:rsid w:val="00D25936"/>
    <w:rsid w:val="00D26C48"/>
    <w:rsid w:val="00D32DAF"/>
    <w:rsid w:val="00D404F5"/>
    <w:rsid w:val="00D424C0"/>
    <w:rsid w:val="00D42610"/>
    <w:rsid w:val="00D43D7F"/>
    <w:rsid w:val="00D50101"/>
    <w:rsid w:val="00D62278"/>
    <w:rsid w:val="00D6556A"/>
    <w:rsid w:val="00D669EE"/>
    <w:rsid w:val="00D7103B"/>
    <w:rsid w:val="00D74CA8"/>
    <w:rsid w:val="00D766E6"/>
    <w:rsid w:val="00D8603D"/>
    <w:rsid w:val="00DA192E"/>
    <w:rsid w:val="00DA349D"/>
    <w:rsid w:val="00DA450F"/>
    <w:rsid w:val="00DB2DA2"/>
    <w:rsid w:val="00DB4734"/>
    <w:rsid w:val="00DC1200"/>
    <w:rsid w:val="00DC6741"/>
    <w:rsid w:val="00DC6DDF"/>
    <w:rsid w:val="00DD096C"/>
    <w:rsid w:val="00DD216D"/>
    <w:rsid w:val="00DF0DF0"/>
    <w:rsid w:val="00DF2C7A"/>
    <w:rsid w:val="00DF38DF"/>
    <w:rsid w:val="00DF4D82"/>
    <w:rsid w:val="00DF718E"/>
    <w:rsid w:val="00E20C96"/>
    <w:rsid w:val="00E253EF"/>
    <w:rsid w:val="00E330C5"/>
    <w:rsid w:val="00E35375"/>
    <w:rsid w:val="00E427D2"/>
    <w:rsid w:val="00E474EE"/>
    <w:rsid w:val="00E50624"/>
    <w:rsid w:val="00E524B6"/>
    <w:rsid w:val="00E54123"/>
    <w:rsid w:val="00E56D63"/>
    <w:rsid w:val="00E619FF"/>
    <w:rsid w:val="00E62DD1"/>
    <w:rsid w:val="00E64376"/>
    <w:rsid w:val="00E659AA"/>
    <w:rsid w:val="00E660D1"/>
    <w:rsid w:val="00E740D7"/>
    <w:rsid w:val="00E74B82"/>
    <w:rsid w:val="00E86665"/>
    <w:rsid w:val="00E90652"/>
    <w:rsid w:val="00EA13B0"/>
    <w:rsid w:val="00EA2C84"/>
    <w:rsid w:val="00EA3E1A"/>
    <w:rsid w:val="00EA6E25"/>
    <w:rsid w:val="00EB077D"/>
    <w:rsid w:val="00EB14A5"/>
    <w:rsid w:val="00EB1C6A"/>
    <w:rsid w:val="00EC32B2"/>
    <w:rsid w:val="00EC5212"/>
    <w:rsid w:val="00EC6512"/>
    <w:rsid w:val="00ED217C"/>
    <w:rsid w:val="00ED28CD"/>
    <w:rsid w:val="00ED5648"/>
    <w:rsid w:val="00ED79CE"/>
    <w:rsid w:val="00EF1190"/>
    <w:rsid w:val="00EF1971"/>
    <w:rsid w:val="00EF4427"/>
    <w:rsid w:val="00EF55F8"/>
    <w:rsid w:val="00F04E3B"/>
    <w:rsid w:val="00F05BEC"/>
    <w:rsid w:val="00F0641B"/>
    <w:rsid w:val="00F10853"/>
    <w:rsid w:val="00F16FA4"/>
    <w:rsid w:val="00F22EF2"/>
    <w:rsid w:val="00F2347E"/>
    <w:rsid w:val="00F25433"/>
    <w:rsid w:val="00F26895"/>
    <w:rsid w:val="00F279F0"/>
    <w:rsid w:val="00F37700"/>
    <w:rsid w:val="00F40B97"/>
    <w:rsid w:val="00F455EA"/>
    <w:rsid w:val="00F4742F"/>
    <w:rsid w:val="00F52AF1"/>
    <w:rsid w:val="00F53BA6"/>
    <w:rsid w:val="00F53E9A"/>
    <w:rsid w:val="00F53F18"/>
    <w:rsid w:val="00F54608"/>
    <w:rsid w:val="00F6038D"/>
    <w:rsid w:val="00F6600C"/>
    <w:rsid w:val="00F73E88"/>
    <w:rsid w:val="00F76CBD"/>
    <w:rsid w:val="00F85152"/>
    <w:rsid w:val="00F90DED"/>
    <w:rsid w:val="00F928FA"/>
    <w:rsid w:val="00F92AC8"/>
    <w:rsid w:val="00F93EB5"/>
    <w:rsid w:val="00F9685C"/>
    <w:rsid w:val="00F96AFE"/>
    <w:rsid w:val="00F970EF"/>
    <w:rsid w:val="00FB0CB3"/>
    <w:rsid w:val="00FB5297"/>
    <w:rsid w:val="00FB7CD4"/>
    <w:rsid w:val="00FC19EF"/>
    <w:rsid w:val="00FC5585"/>
    <w:rsid w:val="00FD1570"/>
    <w:rsid w:val="00FD1C2A"/>
    <w:rsid w:val="00FD7663"/>
    <w:rsid w:val="00FE02BF"/>
    <w:rsid w:val="00FE30BF"/>
    <w:rsid w:val="00FE5BEB"/>
    <w:rsid w:val="00FE7D26"/>
    <w:rsid w:val="00FF0697"/>
    <w:rsid w:val="00FF06AD"/>
    <w:rsid w:val="010158D6"/>
    <w:rsid w:val="01022EEC"/>
    <w:rsid w:val="012369F7"/>
    <w:rsid w:val="014557C2"/>
    <w:rsid w:val="01741992"/>
    <w:rsid w:val="01A22C15"/>
    <w:rsid w:val="01B30666"/>
    <w:rsid w:val="01B976C9"/>
    <w:rsid w:val="01C26E13"/>
    <w:rsid w:val="01E90844"/>
    <w:rsid w:val="01F2258C"/>
    <w:rsid w:val="02076F1B"/>
    <w:rsid w:val="021F3BAE"/>
    <w:rsid w:val="0264611C"/>
    <w:rsid w:val="026F068A"/>
    <w:rsid w:val="027C5214"/>
    <w:rsid w:val="02865CF6"/>
    <w:rsid w:val="02C941D1"/>
    <w:rsid w:val="035661EC"/>
    <w:rsid w:val="03AC11B5"/>
    <w:rsid w:val="03AD1BA0"/>
    <w:rsid w:val="03E273F4"/>
    <w:rsid w:val="03F4702C"/>
    <w:rsid w:val="03FB2A6D"/>
    <w:rsid w:val="03FB31CB"/>
    <w:rsid w:val="040522EB"/>
    <w:rsid w:val="04115E30"/>
    <w:rsid w:val="042E253E"/>
    <w:rsid w:val="04781A0B"/>
    <w:rsid w:val="04C23F52"/>
    <w:rsid w:val="05235FDF"/>
    <w:rsid w:val="0534433C"/>
    <w:rsid w:val="05404C1F"/>
    <w:rsid w:val="054A1D1F"/>
    <w:rsid w:val="054D2E98"/>
    <w:rsid w:val="05742D48"/>
    <w:rsid w:val="05756284"/>
    <w:rsid w:val="05757CE7"/>
    <w:rsid w:val="05A827C4"/>
    <w:rsid w:val="05C23886"/>
    <w:rsid w:val="05C869C2"/>
    <w:rsid w:val="05DB7947"/>
    <w:rsid w:val="05F6435F"/>
    <w:rsid w:val="05F8573E"/>
    <w:rsid w:val="06075AAF"/>
    <w:rsid w:val="062067FE"/>
    <w:rsid w:val="065D535C"/>
    <w:rsid w:val="069A3EBB"/>
    <w:rsid w:val="06D3561E"/>
    <w:rsid w:val="06D53145"/>
    <w:rsid w:val="06FF4665"/>
    <w:rsid w:val="070677A2"/>
    <w:rsid w:val="07342561"/>
    <w:rsid w:val="079528D4"/>
    <w:rsid w:val="07981B47"/>
    <w:rsid w:val="079E49AA"/>
    <w:rsid w:val="07A50D69"/>
    <w:rsid w:val="07AF7E3A"/>
    <w:rsid w:val="07F25F78"/>
    <w:rsid w:val="07FC6812"/>
    <w:rsid w:val="080B0BBA"/>
    <w:rsid w:val="08286B2B"/>
    <w:rsid w:val="082D5FA7"/>
    <w:rsid w:val="08346591"/>
    <w:rsid w:val="086B6B84"/>
    <w:rsid w:val="086E1AA3"/>
    <w:rsid w:val="087D2AA5"/>
    <w:rsid w:val="08964B56"/>
    <w:rsid w:val="08AC35B4"/>
    <w:rsid w:val="08AF5C17"/>
    <w:rsid w:val="08B84ACC"/>
    <w:rsid w:val="08C16272"/>
    <w:rsid w:val="08CC47CC"/>
    <w:rsid w:val="092E2FE0"/>
    <w:rsid w:val="093305F6"/>
    <w:rsid w:val="093B1A79"/>
    <w:rsid w:val="094C42CE"/>
    <w:rsid w:val="0972111F"/>
    <w:rsid w:val="09934568"/>
    <w:rsid w:val="099E1F14"/>
    <w:rsid w:val="09AB1B94"/>
    <w:rsid w:val="09B72FD5"/>
    <w:rsid w:val="09C0632E"/>
    <w:rsid w:val="0A120031"/>
    <w:rsid w:val="0A4C70A6"/>
    <w:rsid w:val="0A5F5B47"/>
    <w:rsid w:val="0A617AEE"/>
    <w:rsid w:val="0A832060"/>
    <w:rsid w:val="0AA34809"/>
    <w:rsid w:val="0AAA1FAB"/>
    <w:rsid w:val="0AAA3ADF"/>
    <w:rsid w:val="0AC21C32"/>
    <w:rsid w:val="0AE8329B"/>
    <w:rsid w:val="0B1D051B"/>
    <w:rsid w:val="0B4D5C5A"/>
    <w:rsid w:val="0B64718D"/>
    <w:rsid w:val="0B8E7D66"/>
    <w:rsid w:val="0B910278"/>
    <w:rsid w:val="0BC65752"/>
    <w:rsid w:val="0C451119"/>
    <w:rsid w:val="0C46147A"/>
    <w:rsid w:val="0C945850"/>
    <w:rsid w:val="0CEB0256"/>
    <w:rsid w:val="0CF956B3"/>
    <w:rsid w:val="0D417786"/>
    <w:rsid w:val="0D422ACD"/>
    <w:rsid w:val="0D612E28"/>
    <w:rsid w:val="0D682B26"/>
    <w:rsid w:val="0D782A7C"/>
    <w:rsid w:val="0D9F26FE"/>
    <w:rsid w:val="0DB6053C"/>
    <w:rsid w:val="0DC857B1"/>
    <w:rsid w:val="0DCA1DB9"/>
    <w:rsid w:val="0E195130"/>
    <w:rsid w:val="0E3F3599"/>
    <w:rsid w:val="0E477036"/>
    <w:rsid w:val="0E5928AD"/>
    <w:rsid w:val="0E5C414B"/>
    <w:rsid w:val="0E8D07A9"/>
    <w:rsid w:val="0EE07792"/>
    <w:rsid w:val="0FA518C7"/>
    <w:rsid w:val="0FD60D71"/>
    <w:rsid w:val="0FE1246E"/>
    <w:rsid w:val="10044A9B"/>
    <w:rsid w:val="1025513D"/>
    <w:rsid w:val="104D4694"/>
    <w:rsid w:val="10627142"/>
    <w:rsid w:val="1064474E"/>
    <w:rsid w:val="106A2B50"/>
    <w:rsid w:val="108043BE"/>
    <w:rsid w:val="10874EFE"/>
    <w:rsid w:val="109064E7"/>
    <w:rsid w:val="10B75E3C"/>
    <w:rsid w:val="10CA1840"/>
    <w:rsid w:val="10F36FE9"/>
    <w:rsid w:val="10FF56C4"/>
    <w:rsid w:val="111156C1"/>
    <w:rsid w:val="116F4196"/>
    <w:rsid w:val="11877731"/>
    <w:rsid w:val="1191590E"/>
    <w:rsid w:val="11B322D4"/>
    <w:rsid w:val="11B94C11"/>
    <w:rsid w:val="11D34725"/>
    <w:rsid w:val="11E54EB8"/>
    <w:rsid w:val="12072620"/>
    <w:rsid w:val="125E66E4"/>
    <w:rsid w:val="127203E1"/>
    <w:rsid w:val="127557DC"/>
    <w:rsid w:val="12AC5ADC"/>
    <w:rsid w:val="12C329EB"/>
    <w:rsid w:val="12D346DA"/>
    <w:rsid w:val="12D445EA"/>
    <w:rsid w:val="12F6691D"/>
    <w:rsid w:val="12FE6834"/>
    <w:rsid w:val="130F5C30"/>
    <w:rsid w:val="13150CF7"/>
    <w:rsid w:val="131D659F"/>
    <w:rsid w:val="13201BEB"/>
    <w:rsid w:val="13286CF2"/>
    <w:rsid w:val="137912FC"/>
    <w:rsid w:val="138F0B1F"/>
    <w:rsid w:val="13B54A2A"/>
    <w:rsid w:val="13C24A51"/>
    <w:rsid w:val="140C03C2"/>
    <w:rsid w:val="142E658A"/>
    <w:rsid w:val="14504752"/>
    <w:rsid w:val="14863CD0"/>
    <w:rsid w:val="14E66DB1"/>
    <w:rsid w:val="14F6342B"/>
    <w:rsid w:val="15535D43"/>
    <w:rsid w:val="15581B10"/>
    <w:rsid w:val="15582651"/>
    <w:rsid w:val="15632F90"/>
    <w:rsid w:val="1572524E"/>
    <w:rsid w:val="157B135B"/>
    <w:rsid w:val="15826B8D"/>
    <w:rsid w:val="15891CCA"/>
    <w:rsid w:val="158E0DE5"/>
    <w:rsid w:val="15B914BE"/>
    <w:rsid w:val="15DF7B3C"/>
    <w:rsid w:val="16223ECC"/>
    <w:rsid w:val="162E19F8"/>
    <w:rsid w:val="16967594"/>
    <w:rsid w:val="16AC3623"/>
    <w:rsid w:val="16ED0036"/>
    <w:rsid w:val="16EF02F1"/>
    <w:rsid w:val="16F615E1"/>
    <w:rsid w:val="170045CF"/>
    <w:rsid w:val="1707565A"/>
    <w:rsid w:val="17BF5E77"/>
    <w:rsid w:val="17F673BF"/>
    <w:rsid w:val="18001FEB"/>
    <w:rsid w:val="181E744D"/>
    <w:rsid w:val="183B524F"/>
    <w:rsid w:val="185A30C5"/>
    <w:rsid w:val="186B56B7"/>
    <w:rsid w:val="18784278"/>
    <w:rsid w:val="189E49D8"/>
    <w:rsid w:val="18CB3E99"/>
    <w:rsid w:val="18E0295D"/>
    <w:rsid w:val="18FA4674"/>
    <w:rsid w:val="19065EBA"/>
    <w:rsid w:val="19081158"/>
    <w:rsid w:val="19130428"/>
    <w:rsid w:val="191B3A2C"/>
    <w:rsid w:val="19287A4C"/>
    <w:rsid w:val="19467ED2"/>
    <w:rsid w:val="19516FA3"/>
    <w:rsid w:val="19806D27"/>
    <w:rsid w:val="19931C6B"/>
    <w:rsid w:val="1A3A7A37"/>
    <w:rsid w:val="1A402B73"/>
    <w:rsid w:val="1A475CB0"/>
    <w:rsid w:val="1A6441E6"/>
    <w:rsid w:val="1A8B0292"/>
    <w:rsid w:val="1A9A5A14"/>
    <w:rsid w:val="1ABF4A78"/>
    <w:rsid w:val="1AC77717"/>
    <w:rsid w:val="1AFC0120"/>
    <w:rsid w:val="1B56689D"/>
    <w:rsid w:val="1B7A3E63"/>
    <w:rsid w:val="1BD56CC3"/>
    <w:rsid w:val="1BD96DDB"/>
    <w:rsid w:val="1C2C7853"/>
    <w:rsid w:val="1C676FB2"/>
    <w:rsid w:val="1CB33AD0"/>
    <w:rsid w:val="1CB476AE"/>
    <w:rsid w:val="1CCF4178"/>
    <w:rsid w:val="1CD04682"/>
    <w:rsid w:val="1D46626F"/>
    <w:rsid w:val="1D6A233A"/>
    <w:rsid w:val="1D752B34"/>
    <w:rsid w:val="1D7A5A02"/>
    <w:rsid w:val="1DA8115B"/>
    <w:rsid w:val="1DAF4298"/>
    <w:rsid w:val="1DBD7295"/>
    <w:rsid w:val="1DE33295"/>
    <w:rsid w:val="1E0862D9"/>
    <w:rsid w:val="1E130F9D"/>
    <w:rsid w:val="1E250460"/>
    <w:rsid w:val="1E454BFC"/>
    <w:rsid w:val="1E53349C"/>
    <w:rsid w:val="1E6A4663"/>
    <w:rsid w:val="1E7D7EF2"/>
    <w:rsid w:val="1E990AA4"/>
    <w:rsid w:val="1EAF2075"/>
    <w:rsid w:val="1EC87C77"/>
    <w:rsid w:val="1EC9526B"/>
    <w:rsid w:val="1ED1023E"/>
    <w:rsid w:val="1EEE2B9E"/>
    <w:rsid w:val="1F09049D"/>
    <w:rsid w:val="1F093E7B"/>
    <w:rsid w:val="1F1545CE"/>
    <w:rsid w:val="1F1C3BAF"/>
    <w:rsid w:val="1F6271D1"/>
    <w:rsid w:val="1F814819"/>
    <w:rsid w:val="1F8654CC"/>
    <w:rsid w:val="1F874ED2"/>
    <w:rsid w:val="1F8C3FD1"/>
    <w:rsid w:val="1F965CEC"/>
    <w:rsid w:val="1FB0008F"/>
    <w:rsid w:val="1FB931AC"/>
    <w:rsid w:val="1FBD169E"/>
    <w:rsid w:val="1FBF453A"/>
    <w:rsid w:val="1FC57DA2"/>
    <w:rsid w:val="1FF71F26"/>
    <w:rsid w:val="20191E9C"/>
    <w:rsid w:val="2020322B"/>
    <w:rsid w:val="20242405"/>
    <w:rsid w:val="203010B0"/>
    <w:rsid w:val="204911E8"/>
    <w:rsid w:val="204A02A8"/>
    <w:rsid w:val="20672C08"/>
    <w:rsid w:val="206A6249"/>
    <w:rsid w:val="209914EF"/>
    <w:rsid w:val="20D4708E"/>
    <w:rsid w:val="20DD2ECA"/>
    <w:rsid w:val="20E021D4"/>
    <w:rsid w:val="20FD37EC"/>
    <w:rsid w:val="21354AB4"/>
    <w:rsid w:val="218B0B78"/>
    <w:rsid w:val="21C216A9"/>
    <w:rsid w:val="21D06BC4"/>
    <w:rsid w:val="220919E5"/>
    <w:rsid w:val="220C0E81"/>
    <w:rsid w:val="220D77DF"/>
    <w:rsid w:val="224B0307"/>
    <w:rsid w:val="224F7DF7"/>
    <w:rsid w:val="22A7378F"/>
    <w:rsid w:val="22B61C24"/>
    <w:rsid w:val="22CF2CE6"/>
    <w:rsid w:val="22FB7F7F"/>
    <w:rsid w:val="238241FC"/>
    <w:rsid w:val="23907C91"/>
    <w:rsid w:val="239A4B6F"/>
    <w:rsid w:val="239D4B92"/>
    <w:rsid w:val="23CD510E"/>
    <w:rsid w:val="23FF75FB"/>
    <w:rsid w:val="241A512F"/>
    <w:rsid w:val="24217571"/>
    <w:rsid w:val="2426102C"/>
    <w:rsid w:val="24305A06"/>
    <w:rsid w:val="243C3C14"/>
    <w:rsid w:val="245834F6"/>
    <w:rsid w:val="245F5BD8"/>
    <w:rsid w:val="24B93C4E"/>
    <w:rsid w:val="24DE1906"/>
    <w:rsid w:val="24E8008F"/>
    <w:rsid w:val="25061E11"/>
    <w:rsid w:val="25C1201D"/>
    <w:rsid w:val="25F514AD"/>
    <w:rsid w:val="2627274E"/>
    <w:rsid w:val="26353BE4"/>
    <w:rsid w:val="266B125F"/>
    <w:rsid w:val="268B3CAF"/>
    <w:rsid w:val="26A61FB0"/>
    <w:rsid w:val="26B50445"/>
    <w:rsid w:val="26D62895"/>
    <w:rsid w:val="27167136"/>
    <w:rsid w:val="277648C2"/>
    <w:rsid w:val="27806CA5"/>
    <w:rsid w:val="27AA2D0B"/>
    <w:rsid w:val="282D0BDB"/>
    <w:rsid w:val="28522B85"/>
    <w:rsid w:val="28665E9B"/>
    <w:rsid w:val="286D6243"/>
    <w:rsid w:val="286D7371"/>
    <w:rsid w:val="28C033E3"/>
    <w:rsid w:val="290B4EAB"/>
    <w:rsid w:val="291E22D1"/>
    <w:rsid w:val="294D0124"/>
    <w:rsid w:val="29986528"/>
    <w:rsid w:val="29B13146"/>
    <w:rsid w:val="2A190FED"/>
    <w:rsid w:val="2A261D85"/>
    <w:rsid w:val="2A273408"/>
    <w:rsid w:val="2A351FC9"/>
    <w:rsid w:val="2A73664D"/>
    <w:rsid w:val="2A9A007E"/>
    <w:rsid w:val="2AD15A4E"/>
    <w:rsid w:val="2AFC6642"/>
    <w:rsid w:val="2AFC7265"/>
    <w:rsid w:val="2B09591A"/>
    <w:rsid w:val="2B142BBE"/>
    <w:rsid w:val="2B2C0E3C"/>
    <w:rsid w:val="2B4A3852"/>
    <w:rsid w:val="2B557A29"/>
    <w:rsid w:val="2B771A86"/>
    <w:rsid w:val="2BB92785"/>
    <w:rsid w:val="2BD33847"/>
    <w:rsid w:val="2BD82C0B"/>
    <w:rsid w:val="2BDA39C9"/>
    <w:rsid w:val="2C2E4F21"/>
    <w:rsid w:val="2C364F00"/>
    <w:rsid w:val="2C470099"/>
    <w:rsid w:val="2C574478"/>
    <w:rsid w:val="2C924618"/>
    <w:rsid w:val="2CA735E6"/>
    <w:rsid w:val="2CA864DD"/>
    <w:rsid w:val="2CB35427"/>
    <w:rsid w:val="2CD94FD5"/>
    <w:rsid w:val="2D320A41"/>
    <w:rsid w:val="2D3269AF"/>
    <w:rsid w:val="2DAF2092"/>
    <w:rsid w:val="2DC53663"/>
    <w:rsid w:val="2E1819E5"/>
    <w:rsid w:val="2E1F0FC6"/>
    <w:rsid w:val="2E536EC1"/>
    <w:rsid w:val="2E6E2785"/>
    <w:rsid w:val="2EA74B17"/>
    <w:rsid w:val="2EA91D9E"/>
    <w:rsid w:val="2EC5428D"/>
    <w:rsid w:val="2ED33B5E"/>
    <w:rsid w:val="2EF44200"/>
    <w:rsid w:val="2F080A0E"/>
    <w:rsid w:val="2F0E4B7E"/>
    <w:rsid w:val="2F164EC7"/>
    <w:rsid w:val="2F432532"/>
    <w:rsid w:val="2F711E04"/>
    <w:rsid w:val="2F9475ED"/>
    <w:rsid w:val="2FB35E69"/>
    <w:rsid w:val="30077F63"/>
    <w:rsid w:val="30390F7B"/>
    <w:rsid w:val="305013D7"/>
    <w:rsid w:val="305807BF"/>
    <w:rsid w:val="30703D5A"/>
    <w:rsid w:val="30773EA1"/>
    <w:rsid w:val="30BB76D1"/>
    <w:rsid w:val="30BC0D4E"/>
    <w:rsid w:val="30D140CD"/>
    <w:rsid w:val="30EF7F02"/>
    <w:rsid w:val="313034EA"/>
    <w:rsid w:val="31662A68"/>
    <w:rsid w:val="31A55C86"/>
    <w:rsid w:val="31B16A14"/>
    <w:rsid w:val="31B653B2"/>
    <w:rsid w:val="31B9528D"/>
    <w:rsid w:val="31CF4AB1"/>
    <w:rsid w:val="31D71BB7"/>
    <w:rsid w:val="31FF1D6C"/>
    <w:rsid w:val="32170DBE"/>
    <w:rsid w:val="322C5A5F"/>
    <w:rsid w:val="32384404"/>
    <w:rsid w:val="32EB591A"/>
    <w:rsid w:val="32FA790B"/>
    <w:rsid w:val="330662B0"/>
    <w:rsid w:val="334D0383"/>
    <w:rsid w:val="33576B0C"/>
    <w:rsid w:val="336143E6"/>
    <w:rsid w:val="336B6A5B"/>
    <w:rsid w:val="33744207"/>
    <w:rsid w:val="3374786D"/>
    <w:rsid w:val="33784CD4"/>
    <w:rsid w:val="33791178"/>
    <w:rsid w:val="338F274A"/>
    <w:rsid w:val="339C6CC6"/>
    <w:rsid w:val="33A410EC"/>
    <w:rsid w:val="33D40484"/>
    <w:rsid w:val="33F24A86"/>
    <w:rsid w:val="33FD2976"/>
    <w:rsid w:val="34533777"/>
    <w:rsid w:val="346873F3"/>
    <w:rsid w:val="34F860CC"/>
    <w:rsid w:val="35132F06"/>
    <w:rsid w:val="35134CB4"/>
    <w:rsid w:val="3536249C"/>
    <w:rsid w:val="356D0868"/>
    <w:rsid w:val="356E638F"/>
    <w:rsid w:val="359A7184"/>
    <w:rsid w:val="35D22DC1"/>
    <w:rsid w:val="35EA1EB9"/>
    <w:rsid w:val="35EF74CF"/>
    <w:rsid w:val="360B5DE8"/>
    <w:rsid w:val="36110370"/>
    <w:rsid w:val="363B0967"/>
    <w:rsid w:val="36414693"/>
    <w:rsid w:val="364F58D5"/>
    <w:rsid w:val="36A75FFC"/>
    <w:rsid w:val="36B3674F"/>
    <w:rsid w:val="36BB54E1"/>
    <w:rsid w:val="372E0CF4"/>
    <w:rsid w:val="373553B6"/>
    <w:rsid w:val="37421881"/>
    <w:rsid w:val="37774F24"/>
    <w:rsid w:val="377759CE"/>
    <w:rsid w:val="378E6892"/>
    <w:rsid w:val="37B403C3"/>
    <w:rsid w:val="37B81B43"/>
    <w:rsid w:val="37BF7375"/>
    <w:rsid w:val="37EF68FC"/>
    <w:rsid w:val="37FA03AE"/>
    <w:rsid w:val="38022934"/>
    <w:rsid w:val="38934A8A"/>
    <w:rsid w:val="389F7559"/>
    <w:rsid w:val="38B773F5"/>
    <w:rsid w:val="38CE7B99"/>
    <w:rsid w:val="38D94467"/>
    <w:rsid w:val="38F92413"/>
    <w:rsid w:val="38FD69F0"/>
    <w:rsid w:val="390531B0"/>
    <w:rsid w:val="391334D5"/>
    <w:rsid w:val="39237490"/>
    <w:rsid w:val="39673821"/>
    <w:rsid w:val="397F0B6A"/>
    <w:rsid w:val="398B750F"/>
    <w:rsid w:val="39A24859"/>
    <w:rsid w:val="39E3567C"/>
    <w:rsid w:val="3A1B4B09"/>
    <w:rsid w:val="3A3E63B3"/>
    <w:rsid w:val="3A5F274A"/>
    <w:rsid w:val="3A7C0BC4"/>
    <w:rsid w:val="3A840504"/>
    <w:rsid w:val="3A850402"/>
    <w:rsid w:val="3A8C1CA7"/>
    <w:rsid w:val="3AE35129"/>
    <w:rsid w:val="3AEC4EB5"/>
    <w:rsid w:val="3B286FE0"/>
    <w:rsid w:val="3B31058A"/>
    <w:rsid w:val="3B556027"/>
    <w:rsid w:val="3B842468"/>
    <w:rsid w:val="3BC87047"/>
    <w:rsid w:val="3BD50F16"/>
    <w:rsid w:val="3BEB698B"/>
    <w:rsid w:val="3C030DDB"/>
    <w:rsid w:val="3C4E2A76"/>
    <w:rsid w:val="3C4F7064"/>
    <w:rsid w:val="3C504A40"/>
    <w:rsid w:val="3C620C1F"/>
    <w:rsid w:val="3C6329C5"/>
    <w:rsid w:val="3C795D45"/>
    <w:rsid w:val="3C7C3A87"/>
    <w:rsid w:val="3C850B8E"/>
    <w:rsid w:val="3C8564E9"/>
    <w:rsid w:val="3C952CE7"/>
    <w:rsid w:val="3D121CF5"/>
    <w:rsid w:val="3D412D68"/>
    <w:rsid w:val="3D7824A0"/>
    <w:rsid w:val="3D94095C"/>
    <w:rsid w:val="3D9B34A9"/>
    <w:rsid w:val="3DBA03C3"/>
    <w:rsid w:val="3DDB115C"/>
    <w:rsid w:val="3E03218E"/>
    <w:rsid w:val="3E43485C"/>
    <w:rsid w:val="3E4A39A4"/>
    <w:rsid w:val="3E702546"/>
    <w:rsid w:val="3EA13817"/>
    <w:rsid w:val="3EAF3CA0"/>
    <w:rsid w:val="3ECD2378"/>
    <w:rsid w:val="3EDF3400"/>
    <w:rsid w:val="3F165BF1"/>
    <w:rsid w:val="3F18247D"/>
    <w:rsid w:val="3F1E2BD3"/>
    <w:rsid w:val="3F1E4982"/>
    <w:rsid w:val="3F1E4F10"/>
    <w:rsid w:val="3F4810D8"/>
    <w:rsid w:val="3F93536F"/>
    <w:rsid w:val="3FA330D9"/>
    <w:rsid w:val="3FB452E6"/>
    <w:rsid w:val="4012098A"/>
    <w:rsid w:val="40214E6C"/>
    <w:rsid w:val="40953369"/>
    <w:rsid w:val="40D55514"/>
    <w:rsid w:val="40F13A78"/>
    <w:rsid w:val="411E6505"/>
    <w:rsid w:val="418732F8"/>
    <w:rsid w:val="41B82E6B"/>
    <w:rsid w:val="41C2018E"/>
    <w:rsid w:val="41DD6D76"/>
    <w:rsid w:val="420933DF"/>
    <w:rsid w:val="420A743F"/>
    <w:rsid w:val="430622FC"/>
    <w:rsid w:val="43670FED"/>
    <w:rsid w:val="437C436D"/>
    <w:rsid w:val="43BD6E5F"/>
    <w:rsid w:val="43E85EA9"/>
    <w:rsid w:val="43ED0DC6"/>
    <w:rsid w:val="44032C8A"/>
    <w:rsid w:val="443159C1"/>
    <w:rsid w:val="448B4867"/>
    <w:rsid w:val="44A65B45"/>
    <w:rsid w:val="44AB6CB7"/>
    <w:rsid w:val="44EE30AE"/>
    <w:rsid w:val="44F00B6E"/>
    <w:rsid w:val="44FB45FD"/>
    <w:rsid w:val="450C75B4"/>
    <w:rsid w:val="45444DD9"/>
    <w:rsid w:val="45790B64"/>
    <w:rsid w:val="457C0654"/>
    <w:rsid w:val="46001285"/>
    <w:rsid w:val="463938E9"/>
    <w:rsid w:val="4639624E"/>
    <w:rsid w:val="46525724"/>
    <w:rsid w:val="465669B8"/>
    <w:rsid w:val="46592743"/>
    <w:rsid w:val="46611380"/>
    <w:rsid w:val="46623CEE"/>
    <w:rsid w:val="468B2849"/>
    <w:rsid w:val="46DC2172"/>
    <w:rsid w:val="47156E90"/>
    <w:rsid w:val="47262F6D"/>
    <w:rsid w:val="475570A2"/>
    <w:rsid w:val="47596E9F"/>
    <w:rsid w:val="475A6773"/>
    <w:rsid w:val="475B361C"/>
    <w:rsid w:val="478832E0"/>
    <w:rsid w:val="47B220CD"/>
    <w:rsid w:val="47CA7D9C"/>
    <w:rsid w:val="47DF7C38"/>
    <w:rsid w:val="47F00E85"/>
    <w:rsid w:val="480037BE"/>
    <w:rsid w:val="480768FB"/>
    <w:rsid w:val="48B819A3"/>
    <w:rsid w:val="48D367DD"/>
    <w:rsid w:val="49267254"/>
    <w:rsid w:val="492C270B"/>
    <w:rsid w:val="49971F00"/>
    <w:rsid w:val="49CF0436"/>
    <w:rsid w:val="49E52C6C"/>
    <w:rsid w:val="49F7474D"/>
    <w:rsid w:val="49FA0194"/>
    <w:rsid w:val="4A050C18"/>
    <w:rsid w:val="4A4554B8"/>
    <w:rsid w:val="4A4F1F65"/>
    <w:rsid w:val="4AC154BF"/>
    <w:rsid w:val="4AC46D25"/>
    <w:rsid w:val="4AF5557E"/>
    <w:rsid w:val="4B1650A7"/>
    <w:rsid w:val="4B410375"/>
    <w:rsid w:val="4B842010"/>
    <w:rsid w:val="4BCB3DFB"/>
    <w:rsid w:val="4BCB40E3"/>
    <w:rsid w:val="4BE80821"/>
    <w:rsid w:val="4BF51887"/>
    <w:rsid w:val="4C4240CC"/>
    <w:rsid w:val="4C8D76F9"/>
    <w:rsid w:val="4CA77A88"/>
    <w:rsid w:val="4CBA03DF"/>
    <w:rsid w:val="4CC34DBA"/>
    <w:rsid w:val="4D106251"/>
    <w:rsid w:val="4D1062E5"/>
    <w:rsid w:val="4D16138E"/>
    <w:rsid w:val="4D34296A"/>
    <w:rsid w:val="4D537EEC"/>
    <w:rsid w:val="4D61085B"/>
    <w:rsid w:val="4D981DA3"/>
    <w:rsid w:val="4DE81AA9"/>
    <w:rsid w:val="4E2B74E2"/>
    <w:rsid w:val="4E6C6610"/>
    <w:rsid w:val="4EA03605"/>
    <w:rsid w:val="4EAD187E"/>
    <w:rsid w:val="4EBB21ED"/>
    <w:rsid w:val="4EE17B16"/>
    <w:rsid w:val="4EE5726A"/>
    <w:rsid w:val="4F5A0E97"/>
    <w:rsid w:val="4F700FBB"/>
    <w:rsid w:val="4FBE84EF"/>
    <w:rsid w:val="4FE17A31"/>
    <w:rsid w:val="4FEC63D6"/>
    <w:rsid w:val="500D355F"/>
    <w:rsid w:val="50151DD1"/>
    <w:rsid w:val="50306C0B"/>
    <w:rsid w:val="5050651F"/>
    <w:rsid w:val="506A5C79"/>
    <w:rsid w:val="507C1E50"/>
    <w:rsid w:val="5095081C"/>
    <w:rsid w:val="509C7DFC"/>
    <w:rsid w:val="50C23D07"/>
    <w:rsid w:val="50D004A9"/>
    <w:rsid w:val="50EC48E0"/>
    <w:rsid w:val="510F0D6B"/>
    <w:rsid w:val="511973CB"/>
    <w:rsid w:val="5139564B"/>
    <w:rsid w:val="514F2753"/>
    <w:rsid w:val="526F57C8"/>
    <w:rsid w:val="52B458D1"/>
    <w:rsid w:val="52EA350E"/>
    <w:rsid w:val="52F91536"/>
    <w:rsid w:val="531262E7"/>
    <w:rsid w:val="53363D8E"/>
    <w:rsid w:val="535E56F6"/>
    <w:rsid w:val="53620E89"/>
    <w:rsid w:val="536651D5"/>
    <w:rsid w:val="538F63B1"/>
    <w:rsid w:val="539354E6"/>
    <w:rsid w:val="53A54A39"/>
    <w:rsid w:val="53B36B8B"/>
    <w:rsid w:val="53C03E02"/>
    <w:rsid w:val="53DB6E8D"/>
    <w:rsid w:val="53E93358"/>
    <w:rsid w:val="53F916FD"/>
    <w:rsid w:val="540C7047"/>
    <w:rsid w:val="54183C3E"/>
    <w:rsid w:val="542645AC"/>
    <w:rsid w:val="54422A68"/>
    <w:rsid w:val="545C3B2A"/>
    <w:rsid w:val="545D78A2"/>
    <w:rsid w:val="5488491F"/>
    <w:rsid w:val="548A4B3B"/>
    <w:rsid w:val="54DA1B1A"/>
    <w:rsid w:val="54E4640B"/>
    <w:rsid w:val="54FD102C"/>
    <w:rsid w:val="550B72FE"/>
    <w:rsid w:val="55125282"/>
    <w:rsid w:val="557578F0"/>
    <w:rsid w:val="559B0682"/>
    <w:rsid w:val="559D43FA"/>
    <w:rsid w:val="55C0173B"/>
    <w:rsid w:val="55D63DB0"/>
    <w:rsid w:val="55F04E72"/>
    <w:rsid w:val="55F97DD7"/>
    <w:rsid w:val="56026953"/>
    <w:rsid w:val="56051778"/>
    <w:rsid w:val="561F3061"/>
    <w:rsid w:val="565A053D"/>
    <w:rsid w:val="568461BA"/>
    <w:rsid w:val="56903473"/>
    <w:rsid w:val="56A143BE"/>
    <w:rsid w:val="56B022D9"/>
    <w:rsid w:val="56CB143B"/>
    <w:rsid w:val="56EA1935"/>
    <w:rsid w:val="570C4D13"/>
    <w:rsid w:val="573C71F5"/>
    <w:rsid w:val="57B84575"/>
    <w:rsid w:val="57C24AFE"/>
    <w:rsid w:val="57DF519E"/>
    <w:rsid w:val="57E7388C"/>
    <w:rsid w:val="58462EB8"/>
    <w:rsid w:val="58627B7D"/>
    <w:rsid w:val="587179E7"/>
    <w:rsid w:val="589046EA"/>
    <w:rsid w:val="58B4104A"/>
    <w:rsid w:val="58B64839"/>
    <w:rsid w:val="58E05173"/>
    <w:rsid w:val="59246BE1"/>
    <w:rsid w:val="595B0854"/>
    <w:rsid w:val="596D2336"/>
    <w:rsid w:val="59796F2C"/>
    <w:rsid w:val="5A5359CF"/>
    <w:rsid w:val="5A6837C4"/>
    <w:rsid w:val="5A7B6CD4"/>
    <w:rsid w:val="5A8870E5"/>
    <w:rsid w:val="5A906928"/>
    <w:rsid w:val="5AE56F06"/>
    <w:rsid w:val="5B797FAF"/>
    <w:rsid w:val="5B920779"/>
    <w:rsid w:val="5BD628C4"/>
    <w:rsid w:val="5BE03293"/>
    <w:rsid w:val="5BE07737"/>
    <w:rsid w:val="5BE703FC"/>
    <w:rsid w:val="5C3E7FB9"/>
    <w:rsid w:val="5C473312"/>
    <w:rsid w:val="5C4952DC"/>
    <w:rsid w:val="5C4F3C4A"/>
    <w:rsid w:val="5C533A65"/>
    <w:rsid w:val="5C66288B"/>
    <w:rsid w:val="5C6F4617"/>
    <w:rsid w:val="5C837116"/>
    <w:rsid w:val="5C8C6F77"/>
    <w:rsid w:val="5CAF2C65"/>
    <w:rsid w:val="5CDA34BA"/>
    <w:rsid w:val="5D014763"/>
    <w:rsid w:val="5D072AA1"/>
    <w:rsid w:val="5D0D0050"/>
    <w:rsid w:val="5D123920"/>
    <w:rsid w:val="5D1804C9"/>
    <w:rsid w:val="5D254ABC"/>
    <w:rsid w:val="5D32445D"/>
    <w:rsid w:val="5D4C7FC4"/>
    <w:rsid w:val="5DA6068F"/>
    <w:rsid w:val="5DC71169"/>
    <w:rsid w:val="5DDC7A8A"/>
    <w:rsid w:val="5E1831B8"/>
    <w:rsid w:val="5E3B0C54"/>
    <w:rsid w:val="5E96271F"/>
    <w:rsid w:val="5E99652F"/>
    <w:rsid w:val="5EBE7680"/>
    <w:rsid w:val="5EC558E8"/>
    <w:rsid w:val="5EDD2065"/>
    <w:rsid w:val="5EEA61D6"/>
    <w:rsid w:val="5F092B01"/>
    <w:rsid w:val="5F5D4BFA"/>
    <w:rsid w:val="5F6917F1"/>
    <w:rsid w:val="5F911D1E"/>
    <w:rsid w:val="5FD4310E"/>
    <w:rsid w:val="5FD538A4"/>
    <w:rsid w:val="60642173"/>
    <w:rsid w:val="60EE6452"/>
    <w:rsid w:val="60F021CA"/>
    <w:rsid w:val="612260FC"/>
    <w:rsid w:val="612C138D"/>
    <w:rsid w:val="616B7AA3"/>
    <w:rsid w:val="61735199"/>
    <w:rsid w:val="619104D9"/>
    <w:rsid w:val="61B275CD"/>
    <w:rsid w:val="62031A89"/>
    <w:rsid w:val="62045801"/>
    <w:rsid w:val="628A7FD0"/>
    <w:rsid w:val="62AE19D3"/>
    <w:rsid w:val="62E11C26"/>
    <w:rsid w:val="62EA2C49"/>
    <w:rsid w:val="62EF24F1"/>
    <w:rsid w:val="63015C93"/>
    <w:rsid w:val="63343EC4"/>
    <w:rsid w:val="63666773"/>
    <w:rsid w:val="637D59BA"/>
    <w:rsid w:val="63862972"/>
    <w:rsid w:val="63A532DC"/>
    <w:rsid w:val="63AB7A82"/>
    <w:rsid w:val="63B514A9"/>
    <w:rsid w:val="63D86F45"/>
    <w:rsid w:val="63DB6A96"/>
    <w:rsid w:val="63E3765C"/>
    <w:rsid w:val="641316E0"/>
    <w:rsid w:val="64597225"/>
    <w:rsid w:val="6498352D"/>
    <w:rsid w:val="649966D5"/>
    <w:rsid w:val="64A82DBC"/>
    <w:rsid w:val="64CC1176"/>
    <w:rsid w:val="65823E08"/>
    <w:rsid w:val="65B00A8D"/>
    <w:rsid w:val="65B405B7"/>
    <w:rsid w:val="65C94D98"/>
    <w:rsid w:val="66551CC6"/>
    <w:rsid w:val="6660552E"/>
    <w:rsid w:val="667E3DD4"/>
    <w:rsid w:val="66952ECC"/>
    <w:rsid w:val="66AA6977"/>
    <w:rsid w:val="66D71736"/>
    <w:rsid w:val="67144738"/>
    <w:rsid w:val="674A1F08"/>
    <w:rsid w:val="676D3B57"/>
    <w:rsid w:val="677156E7"/>
    <w:rsid w:val="67931BFE"/>
    <w:rsid w:val="67B37AAD"/>
    <w:rsid w:val="680C050F"/>
    <w:rsid w:val="68102E33"/>
    <w:rsid w:val="6824411C"/>
    <w:rsid w:val="684A6664"/>
    <w:rsid w:val="6888718C"/>
    <w:rsid w:val="68E50D91"/>
    <w:rsid w:val="69877444"/>
    <w:rsid w:val="69E76134"/>
    <w:rsid w:val="6A38073E"/>
    <w:rsid w:val="6A3D5D54"/>
    <w:rsid w:val="6A4E61B3"/>
    <w:rsid w:val="6A627569"/>
    <w:rsid w:val="6A7379C8"/>
    <w:rsid w:val="6A941E18"/>
    <w:rsid w:val="6AAD78FA"/>
    <w:rsid w:val="6AD761A9"/>
    <w:rsid w:val="6AEE36AF"/>
    <w:rsid w:val="6B182A49"/>
    <w:rsid w:val="6B23319C"/>
    <w:rsid w:val="6B2D401B"/>
    <w:rsid w:val="6B3E3B32"/>
    <w:rsid w:val="6B9F4F63"/>
    <w:rsid w:val="6BA73DCD"/>
    <w:rsid w:val="6BC73B27"/>
    <w:rsid w:val="6C38207C"/>
    <w:rsid w:val="6C6770B8"/>
    <w:rsid w:val="6C8B0FF9"/>
    <w:rsid w:val="6CC22541"/>
    <w:rsid w:val="6CE65416"/>
    <w:rsid w:val="6D033285"/>
    <w:rsid w:val="6D0972FD"/>
    <w:rsid w:val="6D3C6797"/>
    <w:rsid w:val="6D443CCF"/>
    <w:rsid w:val="6D480C98"/>
    <w:rsid w:val="6DA34120"/>
    <w:rsid w:val="6DB36A59"/>
    <w:rsid w:val="6DBE53FE"/>
    <w:rsid w:val="6DC27AF0"/>
    <w:rsid w:val="6DDC6110"/>
    <w:rsid w:val="6DE41FD1"/>
    <w:rsid w:val="6E027099"/>
    <w:rsid w:val="6E0472B5"/>
    <w:rsid w:val="6E2173D2"/>
    <w:rsid w:val="6E364F94"/>
    <w:rsid w:val="6E423939"/>
    <w:rsid w:val="6E5232E2"/>
    <w:rsid w:val="6E6A0C14"/>
    <w:rsid w:val="6E6B0DCF"/>
    <w:rsid w:val="6EAE6B68"/>
    <w:rsid w:val="6ED24CBD"/>
    <w:rsid w:val="6ED70525"/>
    <w:rsid w:val="6EE55C6F"/>
    <w:rsid w:val="6F157A25"/>
    <w:rsid w:val="6F307C36"/>
    <w:rsid w:val="6F411E43"/>
    <w:rsid w:val="6F86607D"/>
    <w:rsid w:val="6F9401C4"/>
    <w:rsid w:val="6FDF48FA"/>
    <w:rsid w:val="6FF15617"/>
    <w:rsid w:val="6FF46EB5"/>
    <w:rsid w:val="705160B5"/>
    <w:rsid w:val="70664E5D"/>
    <w:rsid w:val="70B72EC9"/>
    <w:rsid w:val="70BF3967"/>
    <w:rsid w:val="70E433CD"/>
    <w:rsid w:val="71221416"/>
    <w:rsid w:val="71255E04"/>
    <w:rsid w:val="713C786D"/>
    <w:rsid w:val="717402AD"/>
    <w:rsid w:val="717958C4"/>
    <w:rsid w:val="718E36A5"/>
    <w:rsid w:val="719026AE"/>
    <w:rsid w:val="719F5BDF"/>
    <w:rsid w:val="721455EC"/>
    <w:rsid w:val="72484822"/>
    <w:rsid w:val="72914E8F"/>
    <w:rsid w:val="72A66B8C"/>
    <w:rsid w:val="72CF03B4"/>
    <w:rsid w:val="72E256EB"/>
    <w:rsid w:val="73647A50"/>
    <w:rsid w:val="73C95DE7"/>
    <w:rsid w:val="73F834D8"/>
    <w:rsid w:val="740873D3"/>
    <w:rsid w:val="744729BA"/>
    <w:rsid w:val="7467234B"/>
    <w:rsid w:val="746E24AF"/>
    <w:rsid w:val="747800B5"/>
    <w:rsid w:val="748360EB"/>
    <w:rsid w:val="74934DFE"/>
    <w:rsid w:val="74B310ED"/>
    <w:rsid w:val="74F82FA3"/>
    <w:rsid w:val="750C5128"/>
    <w:rsid w:val="751C1388"/>
    <w:rsid w:val="75260D30"/>
    <w:rsid w:val="753D30AC"/>
    <w:rsid w:val="75575F1C"/>
    <w:rsid w:val="757765BE"/>
    <w:rsid w:val="75F24444"/>
    <w:rsid w:val="75F94C55"/>
    <w:rsid w:val="76253377"/>
    <w:rsid w:val="76257DC8"/>
    <w:rsid w:val="76452218"/>
    <w:rsid w:val="76724FD8"/>
    <w:rsid w:val="7682521B"/>
    <w:rsid w:val="769767EC"/>
    <w:rsid w:val="76C63CAF"/>
    <w:rsid w:val="76FF686B"/>
    <w:rsid w:val="77182914"/>
    <w:rsid w:val="774B36A2"/>
    <w:rsid w:val="775539E1"/>
    <w:rsid w:val="779F3BAA"/>
    <w:rsid w:val="77BB385D"/>
    <w:rsid w:val="7808174F"/>
    <w:rsid w:val="783B1B25"/>
    <w:rsid w:val="78450BF6"/>
    <w:rsid w:val="787E1A12"/>
    <w:rsid w:val="788158AF"/>
    <w:rsid w:val="78992B87"/>
    <w:rsid w:val="78A91184"/>
    <w:rsid w:val="79054FA9"/>
    <w:rsid w:val="791670B8"/>
    <w:rsid w:val="792B7DEB"/>
    <w:rsid w:val="796230E1"/>
    <w:rsid w:val="79646E59"/>
    <w:rsid w:val="798C63B0"/>
    <w:rsid w:val="79AC0800"/>
    <w:rsid w:val="79AC4FEB"/>
    <w:rsid w:val="79B06543"/>
    <w:rsid w:val="79DA0FF7"/>
    <w:rsid w:val="7A100D8F"/>
    <w:rsid w:val="7A3C3932"/>
    <w:rsid w:val="7A543EE8"/>
    <w:rsid w:val="7A590988"/>
    <w:rsid w:val="7AD41DBD"/>
    <w:rsid w:val="7AE2097E"/>
    <w:rsid w:val="7B05641A"/>
    <w:rsid w:val="7B18614D"/>
    <w:rsid w:val="7B22521E"/>
    <w:rsid w:val="7B2A7C2F"/>
    <w:rsid w:val="7B3340EC"/>
    <w:rsid w:val="7B4C1A2E"/>
    <w:rsid w:val="7B560A24"/>
    <w:rsid w:val="7B5B603A"/>
    <w:rsid w:val="7B7E5661"/>
    <w:rsid w:val="7B89570D"/>
    <w:rsid w:val="7BA1292B"/>
    <w:rsid w:val="7BA21EBB"/>
    <w:rsid w:val="7BC736D0"/>
    <w:rsid w:val="7BD92F92"/>
    <w:rsid w:val="7BF070CA"/>
    <w:rsid w:val="7BF32717"/>
    <w:rsid w:val="7C156B31"/>
    <w:rsid w:val="7C506C9A"/>
    <w:rsid w:val="7C670AC9"/>
    <w:rsid w:val="7CA462C8"/>
    <w:rsid w:val="7CD51E1C"/>
    <w:rsid w:val="7CF577D7"/>
    <w:rsid w:val="7CFC06AF"/>
    <w:rsid w:val="7D162EC5"/>
    <w:rsid w:val="7D72619C"/>
    <w:rsid w:val="7D7608BC"/>
    <w:rsid w:val="7D7D498E"/>
    <w:rsid w:val="7D8201F6"/>
    <w:rsid w:val="7DC9372F"/>
    <w:rsid w:val="7DF95C2F"/>
    <w:rsid w:val="7DFBDF28"/>
    <w:rsid w:val="7E062BD5"/>
    <w:rsid w:val="7E0B3D48"/>
    <w:rsid w:val="7E21356B"/>
    <w:rsid w:val="7E2D1F10"/>
    <w:rsid w:val="7E6D055E"/>
    <w:rsid w:val="7E725B75"/>
    <w:rsid w:val="7E7E09BD"/>
    <w:rsid w:val="7EA31D5D"/>
    <w:rsid w:val="7EAD12A3"/>
    <w:rsid w:val="7EBE7D50"/>
    <w:rsid w:val="7EC67A0C"/>
    <w:rsid w:val="7ECE71AA"/>
    <w:rsid w:val="7EDE145C"/>
    <w:rsid w:val="7EEC1DCB"/>
    <w:rsid w:val="7EFE17A5"/>
    <w:rsid w:val="7F517E80"/>
    <w:rsid w:val="7FB0104A"/>
    <w:rsid w:val="7FCE7723"/>
    <w:rsid w:val="7FDE4398"/>
    <w:rsid w:val="CBBE31DB"/>
    <w:rsid w:val="EAF7B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8" w:lineRule="exact"/>
      <w:ind w:firstLine="200" w:firstLineChars="200"/>
      <w:jc w:val="both"/>
    </w:pPr>
    <w:rPr>
      <w:rFonts w:ascii="Times New Roman" w:hAnsi="Times New Roman" w:eastAsia="仿宋_GB2312" w:cstheme="minorBidi"/>
      <w:color w:val="000000" w:themeColor="text1"/>
      <w:kern w:val="2"/>
      <w:sz w:val="32"/>
      <w:szCs w:val="22"/>
      <w:lang w:val="en-US" w:eastAsia="zh-CN" w:bidi="ar-SA"/>
      <w14:textFill>
        <w14:solidFill>
          <w14:schemeClr w14:val="tx1"/>
        </w14:solidFill>
      </w14:textFill>
    </w:rPr>
  </w:style>
  <w:style w:type="paragraph" w:styleId="2">
    <w:name w:val="heading 1"/>
    <w:basedOn w:val="1"/>
    <w:next w:val="1"/>
    <w:link w:val="32"/>
    <w:qFormat/>
    <w:uiPriority w:val="9"/>
    <w:pPr>
      <w:keepNext/>
      <w:pageBreakBefore/>
      <w:widowControl/>
      <w:spacing w:before="120" w:after="120"/>
      <w:ind w:firstLine="0" w:firstLineChars="0"/>
      <w:jc w:val="center"/>
      <w:outlineLvl w:val="0"/>
    </w:pPr>
    <w:rPr>
      <w:rFonts w:eastAsia="黑体" w:cstheme="majorBidi"/>
      <w:szCs w:val="48"/>
    </w:rPr>
  </w:style>
  <w:style w:type="paragraph" w:styleId="3">
    <w:name w:val="heading 2"/>
    <w:basedOn w:val="1"/>
    <w:next w:val="1"/>
    <w:link w:val="33"/>
    <w:unhideWhenUsed/>
    <w:qFormat/>
    <w:uiPriority w:val="9"/>
    <w:pPr>
      <w:keepNext/>
      <w:widowControl/>
      <w:spacing w:before="120" w:after="120"/>
      <w:ind w:firstLine="0" w:firstLineChars="0"/>
      <w:jc w:val="center"/>
      <w:outlineLvl w:val="1"/>
    </w:pPr>
    <w:rPr>
      <w:rFonts w:eastAsia="楷体_GB2312" w:cstheme="majorBidi"/>
      <w:szCs w:val="40"/>
    </w:rPr>
  </w:style>
  <w:style w:type="paragraph" w:styleId="4">
    <w:name w:val="heading 3"/>
    <w:basedOn w:val="1"/>
    <w:next w:val="1"/>
    <w:link w:val="34"/>
    <w:unhideWhenUsed/>
    <w:qFormat/>
    <w:uiPriority w:val="9"/>
    <w:pPr>
      <w:keepNext/>
      <w:widowControl/>
      <w:spacing w:before="120" w:after="120"/>
      <w:outlineLvl w:val="2"/>
    </w:pPr>
    <w:rPr>
      <w:rFonts w:cstheme="majorBidi"/>
      <w:b/>
      <w:szCs w:val="32"/>
    </w:rPr>
  </w:style>
  <w:style w:type="paragraph" w:styleId="5">
    <w:name w:val="heading 4"/>
    <w:basedOn w:val="1"/>
    <w:next w:val="1"/>
    <w:link w:val="35"/>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36"/>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37"/>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1"/>
    <w:semiHidden/>
    <w:unhideWhenUsed/>
    <w:qFormat/>
    <w:uiPriority w:val="99"/>
    <w:pPr>
      <w:jc w:val="left"/>
    </w:pPr>
  </w:style>
  <w:style w:type="paragraph" w:styleId="12">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rPr>
  </w:style>
  <w:style w:type="paragraph" w:styleId="13">
    <w:name w:val="footer"/>
    <w:basedOn w:val="1"/>
    <w:link w:val="42"/>
    <w:unhideWhenUsed/>
    <w:qFormat/>
    <w:uiPriority w:val="99"/>
    <w:pPr>
      <w:tabs>
        <w:tab w:val="center" w:pos="4153"/>
        <w:tab w:val="right" w:pos="8306"/>
      </w:tabs>
      <w:snapToGrid w:val="0"/>
      <w:spacing w:line="240" w:lineRule="atLeast"/>
      <w:jc w:val="left"/>
    </w:pPr>
    <w:rPr>
      <w:sz w:val="18"/>
      <w:szCs w:val="18"/>
    </w:rPr>
  </w:style>
  <w:style w:type="paragraph" w:styleId="14">
    <w:name w:val="header"/>
    <w:basedOn w:val="1"/>
    <w:link w:val="43"/>
    <w:unhideWhenUsed/>
    <w:qFormat/>
    <w:uiPriority w:val="99"/>
    <w:pPr>
      <w:tabs>
        <w:tab w:val="center" w:pos="4153"/>
        <w:tab w:val="right" w:pos="8306"/>
      </w:tabs>
      <w:snapToGrid w:val="0"/>
      <w:spacing w:line="240" w:lineRule="atLeast"/>
      <w:jc w:val="center"/>
    </w:pPr>
    <w:rPr>
      <w:sz w:val="18"/>
      <w:szCs w:val="18"/>
    </w:rPr>
  </w:style>
  <w:style w:type="paragraph" w:styleId="15">
    <w:name w:val="toc 1"/>
    <w:basedOn w:val="1"/>
    <w:next w:val="1"/>
    <w:unhideWhenUsed/>
    <w:qFormat/>
    <w:uiPriority w:val="39"/>
    <w:pPr>
      <w:ind w:firstLine="0" w:firstLineChars="0"/>
    </w:pPr>
    <w:rPr>
      <w:rFonts w:eastAsia="黑体"/>
      <w:bCs/>
      <w:szCs w:val="24"/>
    </w:rPr>
  </w:style>
  <w:style w:type="paragraph" w:styleId="16">
    <w:name w:val="Subtitle"/>
    <w:basedOn w:val="1"/>
    <w:next w:val="1"/>
    <w:link w:val="4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oc 2"/>
    <w:basedOn w:val="1"/>
    <w:next w:val="1"/>
    <w:unhideWhenUsed/>
    <w:qFormat/>
    <w:uiPriority w:val="39"/>
    <w:pPr>
      <w:spacing w:line="480" w:lineRule="exact"/>
      <w:ind w:left="200" w:leftChars="200" w:firstLine="0" w:firstLineChars="0"/>
    </w:pPr>
    <w:rPr>
      <w:rFonts w:eastAsia="楷体_GB2312"/>
    </w:rPr>
  </w:style>
  <w:style w:type="paragraph" w:styleId="18">
    <w:name w:val="Normal (Web)"/>
    <w:basedOn w:val="1"/>
    <w:semiHidden/>
    <w:unhideWhenUsed/>
    <w:qFormat/>
    <w:uiPriority w:val="99"/>
    <w:rPr>
      <w:sz w:val="24"/>
    </w:rPr>
  </w:style>
  <w:style w:type="paragraph" w:styleId="19">
    <w:name w:val="Title"/>
    <w:basedOn w:val="1"/>
    <w:next w:val="1"/>
    <w:link w:val="45"/>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1"/>
    <w:next w:val="11"/>
    <w:link w:val="46"/>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FollowedHyperlink"/>
    <w:basedOn w:val="23"/>
    <w:semiHidden/>
    <w:unhideWhenUsed/>
    <w:qFormat/>
    <w:uiPriority w:val="99"/>
    <w:rPr>
      <w:color w:val="800080"/>
      <w:u w:val="single"/>
    </w:rPr>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styleId="27">
    <w:name w:val="annotation reference"/>
    <w:basedOn w:val="23"/>
    <w:semiHidden/>
    <w:unhideWhenUsed/>
    <w:qFormat/>
    <w:uiPriority w:val="99"/>
    <w:rPr>
      <w:sz w:val="21"/>
      <w:szCs w:val="21"/>
    </w:rPr>
  </w:style>
  <w:style w:type="paragraph" w:customStyle="1" w:styleId="28">
    <w:name w:val="表格排序"/>
    <w:basedOn w:val="29"/>
    <w:link w:val="30"/>
    <w:qFormat/>
    <w:uiPriority w:val="0"/>
    <w:pPr>
      <w:keepNext/>
      <w:numPr>
        <w:ilvl w:val="0"/>
        <w:numId w:val="1"/>
      </w:numPr>
    </w:pPr>
    <w:rPr>
      <w:rFonts w:cs="Weibei SC"/>
      <w:kern w:val="0"/>
    </w:rPr>
  </w:style>
  <w:style w:type="paragraph" w:styleId="29">
    <w:name w:val="List Paragraph"/>
    <w:basedOn w:val="1"/>
    <w:link w:val="31"/>
    <w:qFormat/>
    <w:uiPriority w:val="34"/>
    <w:pPr>
      <w:ind w:firstLine="0" w:firstLineChars="0"/>
      <w:contextualSpacing/>
      <w:jc w:val="center"/>
    </w:pPr>
    <w:rPr>
      <w:rFonts w:eastAsia="黑体"/>
      <w:sz w:val="28"/>
    </w:rPr>
  </w:style>
  <w:style w:type="character" w:customStyle="1" w:styleId="30">
    <w:name w:val="表格排序 字符"/>
    <w:link w:val="28"/>
    <w:qFormat/>
    <w:uiPriority w:val="0"/>
    <w:rPr>
      <w:rFonts w:ascii="Times New Roman" w:hAnsi="Times New Roman" w:eastAsia="黑体" w:cs="Weibei SC"/>
      <w:kern w:val="0"/>
      <w:sz w:val="28"/>
      <w:szCs w:val="22"/>
      <w:lang w:val="en-US" w:eastAsia="zh-CN" w:bidi="ar-SA"/>
    </w:rPr>
  </w:style>
  <w:style w:type="character" w:customStyle="1" w:styleId="31">
    <w:name w:val="列表段落 字符"/>
    <w:basedOn w:val="23"/>
    <w:link w:val="29"/>
    <w:qFormat/>
    <w:uiPriority w:val="34"/>
    <w:rPr>
      <w:rFonts w:eastAsia="黑体" w:cstheme="minorBidi"/>
      <w:kern w:val="2"/>
      <w:sz w:val="28"/>
      <w:szCs w:val="22"/>
    </w:rPr>
  </w:style>
  <w:style w:type="character" w:customStyle="1" w:styleId="32">
    <w:name w:val="标题 1 字符"/>
    <w:basedOn w:val="23"/>
    <w:link w:val="2"/>
    <w:qFormat/>
    <w:uiPriority w:val="9"/>
    <w:rPr>
      <w:rFonts w:eastAsia="黑体" w:cstheme="majorBidi"/>
      <w:color w:val="000000" w:themeColor="text1"/>
      <w:kern w:val="2"/>
      <w:sz w:val="32"/>
      <w:szCs w:val="48"/>
      <w14:textFill>
        <w14:solidFill>
          <w14:schemeClr w14:val="tx1"/>
        </w14:solidFill>
      </w14:textFill>
    </w:rPr>
  </w:style>
  <w:style w:type="character" w:customStyle="1" w:styleId="33">
    <w:name w:val="标题 2 字符"/>
    <w:link w:val="3"/>
    <w:qFormat/>
    <w:uiPriority w:val="9"/>
    <w:rPr>
      <w:rFonts w:eastAsia="楷体_GB2312" w:cstheme="majorBidi"/>
      <w:color w:val="000000" w:themeColor="text1"/>
      <w:kern w:val="2"/>
      <w:sz w:val="32"/>
      <w:szCs w:val="40"/>
      <w14:textFill>
        <w14:solidFill>
          <w14:schemeClr w14:val="tx1"/>
        </w14:solidFill>
      </w14:textFill>
    </w:rPr>
  </w:style>
  <w:style w:type="character" w:customStyle="1" w:styleId="34">
    <w:name w:val="标题 3 字符"/>
    <w:basedOn w:val="23"/>
    <w:link w:val="4"/>
    <w:qFormat/>
    <w:uiPriority w:val="9"/>
    <w:rPr>
      <w:rFonts w:eastAsia="仿宋_GB2312" w:cstheme="majorBidi"/>
      <w:b/>
      <w:color w:val="000000" w:themeColor="text1"/>
      <w:kern w:val="2"/>
      <w:sz w:val="32"/>
      <w:szCs w:val="32"/>
      <w14:textFill>
        <w14:solidFill>
          <w14:schemeClr w14:val="tx1"/>
        </w14:solidFill>
      </w14:textFill>
    </w:rPr>
  </w:style>
  <w:style w:type="character" w:customStyle="1" w:styleId="35">
    <w:name w:val="标题 4 字符"/>
    <w:basedOn w:val="23"/>
    <w:link w:val="5"/>
    <w:semiHidden/>
    <w:qFormat/>
    <w:uiPriority w:val="9"/>
    <w:rPr>
      <w:rFonts w:cstheme="majorBidi"/>
      <w:color w:val="2F5597" w:themeColor="accent1" w:themeShade="BF"/>
      <w:sz w:val="28"/>
      <w:szCs w:val="28"/>
    </w:rPr>
  </w:style>
  <w:style w:type="character" w:customStyle="1" w:styleId="36">
    <w:name w:val="标题 5 字符"/>
    <w:basedOn w:val="23"/>
    <w:link w:val="6"/>
    <w:semiHidden/>
    <w:qFormat/>
    <w:uiPriority w:val="9"/>
    <w:rPr>
      <w:rFonts w:cstheme="majorBidi"/>
      <w:color w:val="2F5597" w:themeColor="accent1" w:themeShade="BF"/>
      <w:sz w:val="24"/>
      <w:szCs w:val="24"/>
    </w:rPr>
  </w:style>
  <w:style w:type="character" w:customStyle="1" w:styleId="37">
    <w:name w:val="标题 6 字符"/>
    <w:basedOn w:val="23"/>
    <w:link w:val="7"/>
    <w:semiHidden/>
    <w:qFormat/>
    <w:uiPriority w:val="9"/>
    <w:rPr>
      <w:rFonts w:cstheme="majorBidi"/>
      <w:b/>
      <w:bCs/>
      <w:color w:val="2F5597" w:themeColor="accent1" w:themeShade="BF"/>
    </w:rPr>
  </w:style>
  <w:style w:type="character" w:customStyle="1" w:styleId="38">
    <w:name w:val="标题 7 字符"/>
    <w:basedOn w:val="2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9">
    <w:name w:val="标题 8 字符"/>
    <w:basedOn w:val="2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0">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1">
    <w:name w:val="批注文字 字符"/>
    <w:basedOn w:val="23"/>
    <w:link w:val="11"/>
    <w:semiHidden/>
    <w:qFormat/>
    <w:uiPriority w:val="99"/>
    <w:rPr>
      <w:kern w:val="2"/>
      <w:sz w:val="21"/>
      <w:szCs w:val="22"/>
    </w:rPr>
  </w:style>
  <w:style w:type="character" w:customStyle="1" w:styleId="42">
    <w:name w:val="页脚 字符"/>
    <w:basedOn w:val="23"/>
    <w:link w:val="13"/>
    <w:qFormat/>
    <w:uiPriority w:val="99"/>
    <w:rPr>
      <w:rFonts w:ascii="Times New Roman" w:hAnsi="Times New Roman" w:eastAsia="仿宋_GB2312"/>
      <w:kern w:val="2"/>
      <w:sz w:val="18"/>
      <w:szCs w:val="18"/>
    </w:rPr>
  </w:style>
  <w:style w:type="character" w:customStyle="1" w:styleId="43">
    <w:name w:val="页眉 字符"/>
    <w:basedOn w:val="23"/>
    <w:link w:val="14"/>
    <w:qFormat/>
    <w:uiPriority w:val="99"/>
    <w:rPr>
      <w:rFonts w:ascii="Times New Roman" w:hAnsi="Times New Roman" w:eastAsia="仿宋_GB2312"/>
      <w:kern w:val="2"/>
      <w:sz w:val="18"/>
      <w:szCs w:val="18"/>
    </w:rPr>
  </w:style>
  <w:style w:type="character" w:customStyle="1" w:styleId="44">
    <w:name w:val="副标题 字符"/>
    <w:basedOn w:val="23"/>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45">
    <w:name w:val="标题 字符"/>
    <w:basedOn w:val="23"/>
    <w:link w:val="19"/>
    <w:qFormat/>
    <w:uiPriority w:val="10"/>
    <w:rPr>
      <w:rFonts w:asciiTheme="majorHAnsi" w:hAnsiTheme="majorHAnsi" w:eastAsiaTheme="majorEastAsia" w:cstheme="majorBidi"/>
      <w:spacing w:val="-10"/>
      <w:kern w:val="28"/>
      <w:sz w:val="56"/>
      <w:szCs w:val="56"/>
    </w:rPr>
  </w:style>
  <w:style w:type="character" w:customStyle="1" w:styleId="46">
    <w:name w:val="批注主题 字符"/>
    <w:basedOn w:val="41"/>
    <w:link w:val="20"/>
    <w:semiHidden/>
    <w:qFormat/>
    <w:uiPriority w:val="99"/>
    <w:rPr>
      <w:b/>
      <w:bCs/>
      <w:kern w:val="2"/>
      <w:sz w:val="21"/>
      <w:szCs w:val="22"/>
    </w:rPr>
  </w:style>
  <w:style w:type="paragraph" w:styleId="47">
    <w:name w:val="Quote"/>
    <w:basedOn w:val="1"/>
    <w:next w:val="1"/>
    <w:link w:val="4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8">
    <w:name w:val="引用 字符"/>
    <w:basedOn w:val="23"/>
    <w:link w:val="47"/>
    <w:qFormat/>
    <w:uiPriority w:val="29"/>
    <w:rPr>
      <w:i/>
      <w:iCs/>
      <w:color w:val="404040" w:themeColor="text1" w:themeTint="BF"/>
      <w14:textFill>
        <w14:solidFill>
          <w14:schemeClr w14:val="tx1">
            <w14:lumMod w14:val="75000"/>
            <w14:lumOff w14:val="25000"/>
          </w14:schemeClr>
        </w14:solidFill>
      </w14:textFill>
    </w:rPr>
  </w:style>
  <w:style w:type="character" w:customStyle="1" w:styleId="49">
    <w:name w:val="明显强调1"/>
    <w:basedOn w:val="23"/>
    <w:qFormat/>
    <w:uiPriority w:val="21"/>
    <w:rPr>
      <w:i/>
      <w:iCs/>
      <w:color w:val="2F5597" w:themeColor="accent1" w:themeShade="BF"/>
    </w:rPr>
  </w:style>
  <w:style w:type="paragraph" w:styleId="50">
    <w:name w:val="Intense Quote"/>
    <w:basedOn w:val="1"/>
    <w:next w:val="1"/>
    <w:link w:val="5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1">
    <w:name w:val="明显引用 字符"/>
    <w:basedOn w:val="23"/>
    <w:link w:val="50"/>
    <w:qFormat/>
    <w:uiPriority w:val="30"/>
    <w:rPr>
      <w:i/>
      <w:iCs/>
      <w:color w:val="2F5597" w:themeColor="accent1" w:themeShade="BF"/>
    </w:rPr>
  </w:style>
  <w:style w:type="character" w:customStyle="1" w:styleId="52">
    <w:name w:val="明显参考1"/>
    <w:basedOn w:val="23"/>
    <w:qFormat/>
    <w:uiPriority w:val="32"/>
    <w:rPr>
      <w:b/>
      <w:bCs/>
      <w:smallCaps/>
      <w:color w:val="2F5597" w:themeColor="accent1" w:themeShade="BF"/>
      <w:spacing w:val="5"/>
    </w:rPr>
  </w:style>
  <w:style w:type="character" w:customStyle="1" w:styleId="53">
    <w:name w:val="未处理的提及1"/>
    <w:basedOn w:val="23"/>
    <w:semiHidden/>
    <w:unhideWhenUsed/>
    <w:qFormat/>
    <w:uiPriority w:val="99"/>
    <w:rPr>
      <w:color w:val="605E5C"/>
      <w:shd w:val="clear" w:color="auto" w:fill="E1DFDD"/>
    </w:rPr>
  </w:style>
  <w:style w:type="character" w:styleId="54">
    <w:name w:val="Placeholder Text"/>
    <w:basedOn w:val="23"/>
    <w:unhideWhenUsed/>
    <w:qFormat/>
    <w:uiPriority w:val="99"/>
    <w:rPr>
      <w:color w:val="666666"/>
    </w:rPr>
  </w:style>
  <w:style w:type="character" w:customStyle="1" w:styleId="55">
    <w:name w:val="font11"/>
    <w:basedOn w:val="23"/>
    <w:qFormat/>
    <w:uiPriority w:val="0"/>
    <w:rPr>
      <w:rFonts w:hint="eastAsia" w:ascii="仿宋_GB2312" w:eastAsia="仿宋_GB2312" w:cs="仿宋_GB2312"/>
      <w:color w:val="000000"/>
      <w:sz w:val="22"/>
      <w:szCs w:val="22"/>
      <w:u w:val="none"/>
    </w:rPr>
  </w:style>
  <w:style w:type="character" w:customStyle="1" w:styleId="56">
    <w:name w:val="mord"/>
    <w:basedOn w:val="23"/>
    <w:qFormat/>
    <w:uiPriority w:val="0"/>
  </w:style>
  <w:style w:type="paragraph" w:customStyle="1" w:styleId="57">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58">
    <w:name w:val="font0"/>
    <w:basedOn w:val="1"/>
    <w:qFormat/>
    <w:uiPriority w:val="0"/>
    <w:pPr>
      <w:widowControl/>
      <w:spacing w:before="100" w:beforeAutospacing="1" w:after="100" w:afterAutospacing="1" w:line="240" w:lineRule="auto"/>
      <w:ind w:firstLine="0" w:firstLineChars="0"/>
      <w:jc w:val="left"/>
    </w:pPr>
    <w:rPr>
      <w:rFonts w:ascii="Arial" w:hAnsi="Arial" w:eastAsia="宋体" w:cs="Arial"/>
      <w:color w:val="000000"/>
      <w:kern w:val="0"/>
      <w:sz w:val="20"/>
      <w:szCs w:val="20"/>
    </w:rPr>
  </w:style>
  <w:style w:type="paragraph" w:customStyle="1" w:styleId="59">
    <w:name w:val="font1"/>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60">
    <w:name w:val="font2"/>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61">
    <w:name w:val="font3"/>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62">
    <w:name w:val="font4"/>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63">
    <w:name w:val="font5"/>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64">
    <w:name w:val="font6"/>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2"/>
    </w:rPr>
  </w:style>
  <w:style w:type="paragraph" w:customStyle="1" w:styleId="65">
    <w:name w:val="et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6">
    <w:name w:val="et3"/>
    <w:basedOn w:val="1"/>
    <w:qFormat/>
    <w:uiPriority w:val="0"/>
    <w:pPr>
      <w:widowControl/>
      <w:spacing w:before="100" w:beforeAutospacing="1" w:after="100" w:afterAutospacing="1" w:line="240" w:lineRule="auto"/>
      <w:ind w:firstLine="0" w:firstLineChars="0"/>
      <w:jc w:val="left"/>
      <w:textAlignment w:val="center"/>
    </w:pPr>
    <w:rPr>
      <w:rFonts w:ascii="宋体" w:hAnsi="宋体" w:eastAsia="宋体" w:cs="宋体"/>
      <w:kern w:val="0"/>
      <w:sz w:val="24"/>
      <w:szCs w:val="24"/>
    </w:rPr>
  </w:style>
  <w:style w:type="paragraph" w:customStyle="1" w:styleId="67">
    <w:name w:val="et5"/>
    <w:basedOn w:val="1"/>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textAlignment w:val="center"/>
    </w:pPr>
    <w:rPr>
      <w:rFonts w:ascii="仿宋_GB2312" w:hAnsi="宋体" w:cs="宋体"/>
      <w:b/>
      <w:bCs/>
      <w:kern w:val="0"/>
      <w:sz w:val="24"/>
      <w:szCs w:val="24"/>
    </w:rPr>
  </w:style>
  <w:style w:type="paragraph" w:customStyle="1" w:styleId="68">
    <w:name w:val="et6"/>
    <w:basedOn w:val="1"/>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textAlignment w:val="center"/>
    </w:pPr>
    <w:rPr>
      <w:rFonts w:ascii="仿宋_GB2312" w:hAnsi="宋体" w:cs="宋体"/>
      <w:b/>
      <w:bCs/>
      <w:kern w:val="0"/>
      <w:sz w:val="24"/>
      <w:szCs w:val="24"/>
    </w:rPr>
  </w:style>
  <w:style w:type="paragraph" w:customStyle="1" w:styleId="69">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center"/>
    </w:pPr>
    <w:rPr>
      <w:rFonts w:ascii="仿宋_GB2312" w:hAnsi="宋体" w:cs="宋体"/>
      <w:kern w:val="0"/>
      <w:sz w:val="24"/>
      <w:szCs w:val="24"/>
    </w:rPr>
  </w:style>
  <w:style w:type="paragraph" w:customStyle="1" w:styleId="70">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left"/>
      <w:textAlignment w:val="center"/>
    </w:pPr>
    <w:rPr>
      <w:rFonts w:ascii="仿宋_GB2312" w:hAnsi="宋体" w:cs="宋体"/>
      <w:kern w:val="0"/>
      <w:sz w:val="24"/>
      <w:szCs w:val="24"/>
    </w:rPr>
  </w:style>
  <w:style w:type="paragraph" w:customStyle="1" w:styleId="71">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center"/>
    </w:pPr>
    <w:rPr>
      <w:rFonts w:ascii="仿宋_GB2312" w:hAnsi="宋体" w:cs="宋体"/>
      <w:kern w:val="0"/>
      <w:sz w:val="24"/>
      <w:szCs w:val="24"/>
    </w:rPr>
  </w:style>
  <w:style w:type="paragraph" w:customStyle="1" w:styleId="72">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center"/>
    </w:pPr>
    <w:rPr>
      <w:rFonts w:ascii="仿宋_GB2312" w:hAnsi="宋体" w:cs="宋体"/>
      <w:color w:val="000000"/>
      <w:kern w:val="0"/>
      <w:sz w:val="24"/>
      <w:szCs w:val="24"/>
    </w:rPr>
  </w:style>
  <w:style w:type="paragraph" w:customStyle="1" w:styleId="73">
    <w:name w:val="et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textAlignment w:val="center"/>
    </w:pPr>
    <w:rPr>
      <w:rFonts w:ascii="仿宋_GB2312" w:hAnsi="宋体" w:cs="宋体"/>
      <w:color w:val="000000"/>
      <w:kern w:val="0"/>
      <w:sz w:val="22"/>
    </w:rPr>
  </w:style>
  <w:style w:type="character" w:customStyle="1" w:styleId="74">
    <w:name w:val="font31"/>
    <w:basedOn w:val="23"/>
    <w:qFormat/>
    <w:uiPriority w:val="0"/>
    <w:rPr>
      <w:rFonts w:hint="eastAsia" w:ascii="仿宋_GB2312" w:eastAsia="仿宋_GB2312"/>
      <w:color w:val="000000"/>
      <w:sz w:val="20"/>
      <w:szCs w:val="20"/>
      <w:u w:val="none"/>
    </w:rPr>
  </w:style>
  <w:style w:type="character" w:customStyle="1" w:styleId="75">
    <w:name w:val="font41"/>
    <w:basedOn w:val="23"/>
    <w:qFormat/>
    <w:uiPriority w:val="0"/>
    <w:rPr>
      <w:rFonts w:hint="eastAsia" w:ascii="仿宋_GB2312" w:eastAsia="仿宋_GB2312"/>
      <w:color w:val="000000"/>
      <w:sz w:val="20"/>
      <w:szCs w:val="20"/>
      <w:u w:val="none"/>
    </w:rPr>
  </w:style>
  <w:style w:type="paragraph" w:customStyle="1" w:styleId="76">
    <w:name w:val="TOC 标题1"/>
    <w:basedOn w:val="2"/>
    <w:next w:val="1"/>
    <w:unhideWhenUsed/>
    <w:qFormat/>
    <w:uiPriority w:val="39"/>
    <w:pPr>
      <w:keepLines/>
      <w:spacing w:before="240" w:line="259" w:lineRule="auto"/>
      <w:jc w:val="left"/>
      <w:outlineLvl w:val="9"/>
    </w:pPr>
    <w:rPr>
      <w:rFonts w:eastAsiaTheme="majorEastAsia"/>
      <w:color w:val="2F5597" w:themeColor="accent1" w:themeShade="BF"/>
      <w:kern w:val="0"/>
      <w:szCs w:val="32"/>
    </w:rPr>
  </w:style>
  <w:style w:type="character" w:customStyle="1" w:styleId="77">
    <w:name w:val="font01"/>
    <w:basedOn w:val="23"/>
    <w:qFormat/>
    <w:uiPriority w:val="0"/>
    <w:rPr>
      <w:rFonts w:hint="default" w:ascii="Arial" w:hAnsi="Arial" w:cs="Arial"/>
      <w:color w:val="000000"/>
      <w:sz w:val="20"/>
      <w:szCs w:val="20"/>
      <w:u w:val="none"/>
    </w:rPr>
  </w:style>
  <w:style w:type="character" w:customStyle="1" w:styleId="78">
    <w:name w:val="font51"/>
    <w:basedOn w:val="23"/>
    <w:qFormat/>
    <w:uiPriority w:val="0"/>
    <w:rPr>
      <w:rFonts w:hint="default" w:ascii="Arial" w:hAnsi="Arial" w:cs="Arial"/>
      <w:color w:val="000000"/>
      <w:sz w:val="20"/>
      <w:szCs w:val="20"/>
      <w:u w:val="none"/>
    </w:rPr>
  </w:style>
  <w:style w:type="paragraph" w:customStyle="1" w:styleId="79">
    <w:name w:val="修订1"/>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80">
    <w:name w:val="三级标题"/>
    <w:basedOn w:val="1"/>
    <w:qFormat/>
    <w:uiPriority w:val="0"/>
    <w:pPr>
      <w:ind w:firstLine="643"/>
    </w:pPr>
    <w:rPr>
      <w:rFonts w:hint="eastAsia"/>
      <w:b/>
      <w:bCs/>
    </w:rPr>
  </w:style>
  <w:style w:type="paragraph" w:customStyle="1" w:styleId="81">
    <w:name w:val="图序号"/>
    <w:basedOn w:val="1"/>
    <w:qFormat/>
    <w:uiPriority w:val="0"/>
    <w:pPr>
      <w:numPr>
        <w:ilvl w:val="0"/>
        <w:numId w:val="2"/>
      </w:numPr>
      <w:spacing w:line="240" w:lineRule="auto"/>
      <w:ind w:firstLine="0" w:firstLineChars="0"/>
      <w:jc w:val="center"/>
    </w:pPr>
    <w:rPr>
      <w:rFonts w:eastAsia="黑体"/>
      <w:sz w:val="28"/>
      <w:szCs w:val="36"/>
    </w:rPr>
  </w:style>
  <w:style w:type="paragraph" w:customStyle="1" w:styleId="82">
    <w:name w:val="修订2"/>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83">
    <w:name w:val="修订3"/>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84">
    <w:name w:val="font7"/>
    <w:basedOn w:val="1"/>
    <w:qFormat/>
    <w:uiPriority w:val="0"/>
    <w:pPr>
      <w:widowControl/>
      <w:spacing w:before="100" w:beforeAutospacing="1" w:after="100" w:afterAutospacing="1" w:line="240" w:lineRule="auto"/>
      <w:ind w:firstLine="0" w:firstLineChars="0"/>
      <w:jc w:val="left"/>
    </w:pPr>
    <w:rPr>
      <w:rFonts w:ascii="等线" w:hAnsi="等线" w:eastAsia="等线" w:cs="宋体"/>
      <w:kern w:val="0"/>
      <w:sz w:val="18"/>
      <w:szCs w:val="18"/>
    </w:rPr>
  </w:style>
  <w:style w:type="paragraph" w:customStyle="1" w:styleId="8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FF0000"/>
      <w:kern w:val="0"/>
      <w:sz w:val="24"/>
      <w:szCs w:val="24"/>
    </w:rPr>
  </w:style>
  <w:style w:type="paragraph" w:customStyle="1" w:styleId="8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b/>
      <w:bCs/>
      <w:color w:val="000000"/>
      <w:kern w:val="0"/>
      <w:sz w:val="21"/>
      <w:szCs w:val="21"/>
    </w:rPr>
  </w:style>
  <w:style w:type="paragraph" w:customStyle="1" w:styleId="8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b/>
      <w:bCs/>
      <w:color w:val="000000"/>
      <w:kern w:val="0"/>
      <w:sz w:val="21"/>
      <w:szCs w:val="21"/>
    </w:rPr>
  </w:style>
  <w:style w:type="paragraph" w:customStyle="1" w:styleId="8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1"/>
      <w:szCs w:val="21"/>
    </w:rPr>
  </w:style>
  <w:style w:type="paragraph" w:customStyle="1" w:styleId="8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1"/>
      <w:szCs w:val="21"/>
    </w:rPr>
  </w:style>
  <w:style w:type="paragraph" w:customStyle="1" w:styleId="9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kern w:val="0"/>
      <w:sz w:val="21"/>
      <w:szCs w:val="21"/>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FF0000"/>
      <w:kern w:val="0"/>
      <w:sz w:val="21"/>
      <w:szCs w:val="21"/>
    </w:rPr>
  </w:style>
  <w:style w:type="paragraph" w:customStyle="1" w:styleId="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cs="宋体"/>
      <w:color w:val="FF0000"/>
      <w:kern w:val="0"/>
      <w:sz w:val="21"/>
      <w:szCs w:val="21"/>
    </w:rPr>
  </w:style>
  <w:style w:type="paragraph" w:customStyle="1" w:styleId="93">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rFonts w:ascii="仿宋_GB2312" w:hAnsi="宋体" w:cs="宋体"/>
      <w:b/>
      <w:bCs/>
      <w:color w:val="000000"/>
      <w:kern w:val="0"/>
      <w:sz w:val="21"/>
      <w:szCs w:val="21"/>
    </w:rPr>
  </w:style>
  <w:style w:type="paragraph" w:customStyle="1" w:styleId="94">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b/>
      <w:bCs/>
      <w:color w:val="000000"/>
      <w:kern w:val="0"/>
      <w:sz w:val="21"/>
      <w:szCs w:val="21"/>
    </w:rPr>
  </w:style>
  <w:style w:type="character" w:customStyle="1" w:styleId="95">
    <w:name w:val="font21"/>
    <w:basedOn w:val="23"/>
    <w:qFormat/>
    <w:uiPriority w:val="0"/>
    <w:rPr>
      <w:rFonts w:hint="eastAsia" w:ascii="等线" w:hAnsi="等线" w:eastAsia="等线" w:cs="等线"/>
      <w:color w:val="000000"/>
      <w:sz w:val="24"/>
      <w:szCs w:val="24"/>
      <w:u w:val="none"/>
    </w:rPr>
  </w:style>
  <w:style w:type="character" w:customStyle="1" w:styleId="96">
    <w:name w:val="font61"/>
    <w:basedOn w:val="23"/>
    <w:qFormat/>
    <w:uiPriority w:val="0"/>
    <w:rPr>
      <w:rFonts w:hint="default" w:ascii="Times New Roman" w:hAnsi="Times New Roman" w:cs="Times New Roman"/>
      <w:color w:val="000000"/>
      <w:sz w:val="24"/>
      <w:szCs w:val="24"/>
      <w:u w:val="none"/>
    </w:rPr>
  </w:style>
  <w:style w:type="character" w:customStyle="1" w:styleId="97">
    <w:name w:val="font71"/>
    <w:basedOn w:val="23"/>
    <w:qFormat/>
    <w:uiPriority w:val="0"/>
    <w:rPr>
      <w:rFonts w:hint="default" w:ascii="Times New Roman" w:hAnsi="Times New Roman" w:cs="Times New Roman"/>
      <w:color w:val="000000"/>
      <w:sz w:val="24"/>
      <w:szCs w:val="24"/>
      <w:u w:val="none"/>
    </w:rPr>
  </w:style>
  <w:style w:type="paragraph" w:customStyle="1" w:styleId="98">
    <w:name w:val="修订4"/>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99">
    <w:name w:val="TOC 标题2"/>
    <w:basedOn w:val="2"/>
    <w:next w:val="1"/>
    <w:unhideWhenUsed/>
    <w:qFormat/>
    <w:uiPriority w:val="39"/>
    <w:pPr>
      <w:keepLines/>
      <w:pageBreakBefore w:val="0"/>
      <w:spacing w:before="240" w:after="0" w:line="259" w:lineRule="auto"/>
      <w:jc w:val="left"/>
      <w:outlineLvl w:val="9"/>
    </w:pPr>
    <w:rPr>
      <w:rFonts w:asciiTheme="majorHAnsi" w:hAnsiTheme="majorHAnsi" w:eastAsiaTheme="majorEastAsia"/>
      <w:color w:val="2F5597" w:themeColor="accent1" w:themeShade="BF"/>
      <w:kern w:val="0"/>
      <w:szCs w:val="32"/>
    </w:rPr>
  </w:style>
  <w:style w:type="paragraph" w:customStyle="1" w:styleId="100">
    <w:name w:val="修订5"/>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101">
    <w:name w:val="Revision"/>
    <w:hidden/>
    <w:unhideWhenUsed/>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84</Pages>
  <Words>5158</Words>
  <Characters>6259</Characters>
  <Lines>340</Lines>
  <Paragraphs>95</Paragraphs>
  <TotalTime>14</TotalTime>
  <ScaleCrop>false</ScaleCrop>
  <LinksUpToDate>false</LinksUpToDate>
  <CharactersWithSpaces>6400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2026-04-01T15:20:00Z</dcterms:created>
  <dc:creator>chen yuling</dc:creator>
  <cp:lastModifiedBy>ysgz</cp:lastModifiedBy>
  <cp:lastPrinted>2026-05-07T15:27:00Z</cp:lastPrinted>
  <dcterms:modified xsi:type="dcterms:W3CDTF">2026-08-12T18:04:24Z</dcterms:modified>
  <cp:revision>602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eyJoZGlkIjoiMmJiYjdlMjQ4NjFlYmY4MTVmOWE0NWVkYWZlYTE1NTQiLCJ1c2VySWQiOiIyOTAxNTcwMDYifQ==</vt:lpwstr>
  </property>
  <property fmtid="{D5CDD505-2E9C-101B-9397-08002B2CF9AE}" pid="3" name="KSOProductBuildVer">
    <vt:lpwstr>2052-11.8.2.10422</vt:lpwstr>
  </property>
  <property fmtid="{D5CDD505-2E9C-101B-9397-08002B2CF9AE}" pid="4" name="ICV">
    <vt:lpwstr>9E561198A5254261B6B66BBFCE07D9B3_13</vt:lpwstr>
  </property>
</Properties>
</file>