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ind w:leftChars="0"/>
        <w:jc w:val="center"/>
        <w:rPr>
          <w:sz w:val="36"/>
          <w:szCs w:val="36"/>
        </w:rPr>
      </w:pPr>
      <w:bookmarkStart w:id="0" w:name="_Toc13614"/>
      <w:r>
        <w:rPr>
          <w:rFonts w:hint="eastAsia"/>
          <w:sz w:val="36"/>
          <w:szCs w:val="36"/>
        </w:rPr>
        <w:t>杭州市新能源汽车充电设施专项规划</w:t>
      </w:r>
      <w:r>
        <w:rPr>
          <w:rFonts w:hint="eastAsia"/>
          <w:sz w:val="36"/>
          <w:szCs w:val="36"/>
          <w:lang w:eastAsia="zh-CN"/>
        </w:rPr>
        <w:t>（草案）</w:t>
      </w:r>
      <w:bookmarkStart w:id="24" w:name="_GoBack"/>
      <w:bookmarkEnd w:id="24"/>
    </w:p>
    <w:p>
      <w:pPr>
        <w:pStyle w:val="2"/>
        <w:bidi w:val="0"/>
      </w:pPr>
      <w:r>
        <w:rPr>
          <w:rFonts w:hint="eastAsia"/>
        </w:rPr>
        <w:t>规划总则</w:t>
      </w:r>
      <w:bookmarkEnd w:id="0"/>
    </w:p>
    <w:p>
      <w:pPr>
        <w:pStyle w:val="3"/>
        <w:tabs>
          <w:tab w:val="clear" w:pos="420"/>
        </w:tabs>
      </w:pPr>
      <w:bookmarkStart w:id="1" w:name="_Toc29944"/>
      <w:r>
        <w:rPr>
          <w:rFonts w:hint="eastAsia"/>
        </w:rPr>
        <w:t>规划范围</w:t>
      </w:r>
      <w:bookmarkEnd w:id="1"/>
    </w:p>
    <w:p>
      <w:pPr>
        <w:ind w:firstLine="560" w:firstLineChars="2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规划范围为</w:t>
      </w:r>
      <w:r>
        <w:rPr>
          <w:rFonts w:hint="eastAsia"/>
        </w:rPr>
        <w:t>杭州</w:t>
      </w:r>
      <w:r>
        <w:rPr>
          <w:rFonts w:hint="eastAsia"/>
          <w:lang w:val="en-US" w:eastAsia="zh-CN"/>
        </w:rPr>
        <w:t>市域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包括下辖13个区</w:t>
      </w:r>
      <w:r>
        <w:rPr>
          <w:rFonts w:hint="eastAsia"/>
        </w:rPr>
        <w:t>、县（市），</w:t>
      </w:r>
      <w:r>
        <w:rPr>
          <w:rFonts w:hint="eastAsia"/>
          <w:lang w:val="en-US" w:eastAsia="zh-CN"/>
        </w:rPr>
        <w:t>总</w:t>
      </w:r>
      <w:r>
        <w:rPr>
          <w:rFonts w:hint="eastAsia"/>
        </w:rPr>
        <w:t>面积16850平方公里。</w:t>
      </w:r>
    </w:p>
    <w:p>
      <w:pPr>
        <w:pStyle w:val="3"/>
        <w:tabs>
          <w:tab w:val="clear" w:pos="420"/>
        </w:tabs>
      </w:pPr>
      <w:bookmarkStart w:id="2" w:name="_Toc15717"/>
      <w:r>
        <w:rPr>
          <w:rFonts w:hint="eastAsia"/>
        </w:rPr>
        <w:t>规划年限</w:t>
      </w:r>
      <w:bookmarkEnd w:id="2"/>
    </w:p>
    <w:p>
      <w:pPr>
        <w:ind w:firstLine="560" w:firstLineChars="200"/>
      </w:pPr>
      <w:r>
        <w:rPr>
          <w:rFonts w:hint="eastAsia"/>
          <w:lang w:val="en-US" w:eastAsia="zh-CN"/>
        </w:rPr>
        <w:t>规划</w:t>
      </w:r>
      <w:r>
        <w:rPr>
          <w:rFonts w:hint="eastAsia"/>
        </w:rPr>
        <w:t>近期：202</w:t>
      </w:r>
      <w:r>
        <w:rPr>
          <w:rFonts w:hint="eastAsia"/>
          <w:lang w:val="en-US" w:eastAsia="zh-CN"/>
        </w:rPr>
        <w:t>5年</w:t>
      </w:r>
      <w:r>
        <w:rPr>
          <w:rFonts w:hint="eastAsia"/>
          <w:lang w:eastAsia="zh-CN"/>
        </w:rPr>
        <w:t>—</w:t>
      </w:r>
      <w:r>
        <w:rPr>
          <w:rFonts w:hint="eastAsia"/>
        </w:rPr>
        <w:t>2030年；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规划</w:t>
      </w:r>
      <w:r>
        <w:rPr>
          <w:rFonts w:hint="eastAsia"/>
        </w:rPr>
        <w:t>远期：至2035年。</w:t>
      </w:r>
    </w:p>
    <w:p>
      <w:pPr>
        <w:pStyle w:val="3"/>
        <w:tabs>
          <w:tab w:val="clear" w:pos="420"/>
        </w:tabs>
        <w:jc w:val="left"/>
      </w:pPr>
      <w:bookmarkStart w:id="3" w:name="_Toc2496"/>
      <w:r>
        <w:rPr>
          <w:rFonts w:hint="eastAsia"/>
        </w:rPr>
        <w:t>规划对象</w:t>
      </w:r>
      <w:bookmarkEnd w:id="3"/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本规划对象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是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为新能源电动汽车提供充电服务的充电设施，包括自用充电设施、专用充电设施和公用充电设施，核心研究对象为公用充电设施与专用充电设施（二者统称为公共充电设施）。其中：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default"/>
          <w:lang w:val="en-US" w:eastAsia="zh-CN"/>
        </w:rPr>
        <w:t>自用充电设施：主要用于满足个人或单位自有新能源汽车充电需求，布局于居住小区、单位停车场等专属空间；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</w:t>
      </w:r>
      <w:r>
        <w:rPr>
          <w:rFonts w:hint="default"/>
          <w:lang w:val="en-US" w:eastAsia="zh-CN"/>
        </w:rPr>
        <w:t>公用充电设施：面向社会公众开放，为不特定新能源汽车提供充电服务的设施；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专用充电设施：面向特定领域车辆（如市政车辆、物流车辆等），布局于专用作业或停放场地的设施。</w:t>
      </w:r>
    </w:p>
    <w:p>
      <w:pPr>
        <w:pStyle w:val="2"/>
        <w:bidi w:val="0"/>
      </w:pPr>
      <w:bookmarkStart w:id="4" w:name="_Toc19749"/>
      <w:r>
        <w:rPr>
          <w:rFonts w:hint="eastAsia"/>
        </w:rPr>
        <w:t>规划</w:t>
      </w:r>
      <w:r>
        <w:rPr>
          <w:rFonts w:hint="eastAsia"/>
          <w:lang w:val="en-US" w:eastAsia="zh-CN"/>
        </w:rPr>
        <w:t>目标</w:t>
      </w:r>
      <w:bookmarkEnd w:id="4"/>
    </w:p>
    <w:p>
      <w:pPr>
        <w:pStyle w:val="3"/>
        <w:tabs>
          <w:tab w:val="clear" w:pos="420"/>
        </w:tabs>
      </w:pPr>
      <w:bookmarkStart w:id="5" w:name="_Toc31484"/>
      <w:r>
        <w:rPr>
          <w:rFonts w:hint="eastAsia"/>
        </w:rPr>
        <w:t>总体目标</w:t>
      </w:r>
      <w:bookmarkEnd w:id="5"/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以科学规划为引领，安全高效运营为核心，构建“覆盖广、规模适、布局均、安全可靠、智慧协同”的现代化充电设施体系，助力双碳战略，支撑新能源汽车产业发展，推动杭州建设智慧绿色品质新天堂，加速迈向国际性综合交通枢纽城市。</w:t>
      </w:r>
    </w:p>
    <w:p>
      <w:pPr>
        <w:pStyle w:val="3"/>
        <w:tabs>
          <w:tab w:val="clear" w:pos="420"/>
        </w:tabs>
      </w:pPr>
      <w:bookmarkStart w:id="6" w:name="_Toc10578"/>
      <w:r>
        <w:rPr>
          <w:rFonts w:hint="eastAsia"/>
          <w:lang w:val="en-US" w:eastAsia="zh-CN"/>
        </w:rPr>
        <w:t>分项</w:t>
      </w:r>
      <w:r>
        <w:rPr>
          <w:rFonts w:hint="eastAsia"/>
        </w:rPr>
        <w:t>目标</w:t>
      </w:r>
      <w:bookmarkEnd w:id="6"/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围绕“空间可达、功率适配、布局均衡”三大核心维度，结合杭州市十三区县（市）发展差异、充电需求特征等，提出以下规划实施分项目标：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（1）可达性目标：构建“市域全覆盖、重点场景有支撑”的服务网络，以“一类区5分钟、二类区10分钟、三类区15分钟”半径为标准，实现城乡均等化覆盖，重点场景补能即时响应。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（2）功率适配目标：建立“需求导向、分区分级、高效补能”的配置体系与“高强层、中强层、基础层”分区，实现功率精准适配，避免过剩或低效。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（3）布局均衡目标：实现“城乡协同、类型互补、供需匹配”的布局，统筹人口、保有量、电网等因素，避免设施扎堆或不均，推动公用与专用协同互补。</w:t>
      </w:r>
    </w:p>
    <w:p>
      <w:pPr>
        <w:pStyle w:val="3"/>
        <w:tabs>
          <w:tab w:val="clear" w:pos="420"/>
        </w:tabs>
      </w:pPr>
      <w:bookmarkStart w:id="7" w:name="_Toc22257"/>
      <w:r>
        <w:rPr>
          <w:rFonts w:hint="eastAsia"/>
          <w:lang w:val="en-US" w:eastAsia="zh-CN"/>
        </w:rPr>
        <w:t>空间发展分区</w:t>
      </w:r>
      <w:bookmarkEnd w:id="7"/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空间分区规划策略以“服务半径全覆盖筑牢基础，功率配置精准化提升质量”为核心，建立“三类空间服务半径分区、三级功率配置区间”的嵌套适配，构建“空间可达、功率适配”的保障体系。</w:t>
      </w:r>
    </w:p>
    <w:p>
      <w:pPr>
        <w:ind w:firstLine="560" w:firstLineChars="200"/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各分区城镇建设用地严格落实《杭州市推进新能源电动汽车充电基础设施建设运营实施办法（修订）》要求，新改建工程按泊位标准配建充电设施；乡村建设用地结合停车场完善覆盖。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一类区：城市主城区范围，引导实现充电服务“全覆盖、高密度”，满足高频、高效补能需求。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二类区：依据《浙江省充电设施布点规划指南（2023）》划定的城市范围（除一类区以外的地区），以及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临平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区塘栖镇和淳安县千岛湖镇，实现“城乡衔接、快慢结合”，兼顾居民日常补能与跨区通勤补能需求。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三类区：上述区域之外的地区，实现“普惠均等、基础保障”，满足农村日常及旅游补能需求，灵活布局。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结合三类分区的人口、用能强度、用户类型及电网承载力，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对全市公共充电设施功率配置提出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三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级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功率区间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指引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，实现精准适配，避免过剩或低效。</w:t>
      </w:r>
    </w:p>
    <w:p>
      <w:pPr>
        <w:pStyle w:val="3"/>
        <w:tabs>
          <w:tab w:val="clear" w:pos="420"/>
        </w:tabs>
      </w:pPr>
      <w:bookmarkStart w:id="8" w:name="_Toc32410"/>
      <w:r>
        <w:rPr>
          <w:rFonts w:hint="eastAsia"/>
          <w:lang w:val="en-US" w:eastAsia="zh-CN"/>
        </w:rPr>
        <w:t>设施发展</w:t>
      </w:r>
      <w:bookmarkEnd w:id="8"/>
      <w:r>
        <w:rPr>
          <w:rFonts w:hint="eastAsia"/>
          <w:lang w:val="en-US" w:eastAsia="zh-CN"/>
        </w:rPr>
        <w:t>分类</w:t>
      </w:r>
    </w:p>
    <w:p>
      <w:pPr>
        <w:ind w:firstLine="560" w:firstLineChars="200"/>
        <w:rPr>
          <w:rFonts w:hint="eastAsia"/>
        </w:rPr>
      </w:pPr>
      <w:r>
        <w:rPr>
          <w:rFonts w:hint="eastAsia"/>
          <w:lang w:val="en-US" w:eastAsia="zh-CN"/>
        </w:rPr>
        <w:t>根据用地功能与充电设施服务对象，公共充电设施分为三类，实行差异化布局：</w:t>
      </w:r>
    </w:p>
    <w:p>
      <w:pPr>
        <w:ind w:firstLine="560" w:firstLineChars="200"/>
      </w:pP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（1）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公用充电设施：构建骨干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站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+普通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站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的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布局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网络，聚焦居民便捷补能，支撑乘用车高效补能，实现覆盖均衡与使用便利。</w:t>
      </w:r>
    </w:p>
    <w:p>
      <w:pPr>
        <w:ind w:firstLine="560" w:firstLineChars="200"/>
      </w:pP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（2）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市政专用充电站：立足市政车辆运营保障，针对公交、环卫等专用车型，围绕专用作业场所布局，适配运营节律。</w:t>
      </w:r>
    </w:p>
    <w:p>
      <w:pPr>
        <w:ind w:firstLine="560" w:firstLineChars="200"/>
      </w:pP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（3）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物流重卡专用充电站：依托物流仓储中心、货运枢纽布局，满足物流车辆集中停放与快速补能需求。</w:t>
      </w:r>
    </w:p>
    <w:p>
      <w:pPr>
        <w:pStyle w:val="2"/>
        <w:bidi w:val="0"/>
      </w:pPr>
      <w:bookmarkStart w:id="9" w:name="_Toc25986"/>
      <w:r>
        <w:rPr>
          <w:rFonts w:hint="eastAsia"/>
        </w:rPr>
        <w:t>规划方案</w:t>
      </w:r>
      <w:bookmarkEnd w:id="9"/>
    </w:p>
    <w:p>
      <w:pPr>
        <w:pStyle w:val="3"/>
        <w:tabs>
          <w:tab w:val="clear" w:pos="420"/>
        </w:tabs>
      </w:pPr>
      <w:bookmarkStart w:id="10" w:name="_Toc22661"/>
      <w:r>
        <w:rPr>
          <w:rFonts w:hint="eastAsia"/>
          <w:lang w:val="en-US" w:eastAsia="zh-CN"/>
        </w:rPr>
        <w:t>总体规模确定原则</w:t>
      </w:r>
      <w:bookmarkEnd w:id="10"/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按服务对象划分公用与专用设施，依供需匹配原则核算规模；综合现状与规划因素，明确各城区公用桩差异化保障要求。</w:t>
      </w:r>
    </w:p>
    <w:p>
      <w:pPr>
        <w:pStyle w:val="3"/>
        <w:tabs>
          <w:tab w:val="clear" w:pos="420"/>
        </w:tabs>
      </w:pPr>
      <w:bookmarkStart w:id="11" w:name="_Toc2812"/>
      <w:r>
        <w:rPr>
          <w:rFonts w:hint="eastAsia"/>
        </w:rPr>
        <w:t>公用充电设施规划</w:t>
      </w:r>
      <w:bookmarkEnd w:id="11"/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公用设施以服务乘用车为主，面向公众开放，新改建项目严格执行2023年实施办法配建标准。</w:t>
      </w:r>
    </w:p>
    <w:p>
      <w:pPr>
        <w:numPr>
          <w:ilvl w:val="0"/>
          <w:numId w:val="3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构建骨干公用充电站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分为中心站、卫星站两类，所有站点充电设施额定总功率规模达到45万千瓦及以上。</w:t>
      </w:r>
    </w:p>
    <w:p>
      <w:pPr>
        <w:numPr>
          <w:ilvl w:val="0"/>
          <w:numId w:val="4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完善普通公用充电站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城镇区域结合居住区、办公区、商业区、工业区等加密设施。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在乡村重点村落的党群中心、工业区、景点、民宿等节点布局设施，填补充电空白；</w:t>
      </w:r>
    </w:p>
    <w:p>
      <w:pPr>
        <w:ind w:firstLine="560" w:firstLineChars="200"/>
      </w:pP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在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干线道路沿线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，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结合交通量，在服务区、停车场、加油站及邻近村庄停车场布局设施；高速服务区预留大功率充电安装条件。</w:t>
      </w:r>
    </w:p>
    <w:p>
      <w:pPr>
        <w:pStyle w:val="3"/>
        <w:tabs>
          <w:tab w:val="clear" w:pos="420"/>
        </w:tabs>
      </w:pPr>
      <w:bookmarkStart w:id="12" w:name="_Toc31607"/>
      <w:r>
        <w:rPr>
          <w:rFonts w:hint="eastAsia"/>
        </w:rPr>
        <w:t>专用充电设施规划</w:t>
      </w:r>
      <w:bookmarkEnd w:id="12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专用充电设施服务于市政车辆与货运物流车辆，结合车辆运行轨迹、集中停放场地等科学布局：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公交车辆专用</w:t>
      </w:r>
      <w:r>
        <w:rPr>
          <w:rFonts w:hint="eastAsia"/>
          <w:lang w:val="en-US" w:eastAsia="zh-CN"/>
        </w:rPr>
        <w:t>充电站：依托</w:t>
      </w:r>
      <w:r>
        <w:rPr>
          <w:rFonts w:hint="eastAsia"/>
        </w:rPr>
        <w:t>公交</w:t>
      </w:r>
      <w:r>
        <w:rPr>
          <w:rFonts w:hint="eastAsia"/>
          <w:lang w:val="en-US" w:eastAsia="zh-CN"/>
        </w:rPr>
        <w:t>停保场等具备条件的公交设施用地布局</w:t>
      </w:r>
      <w:r>
        <w:rPr>
          <w:rFonts w:hint="eastAsia"/>
        </w:rPr>
        <w:t>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环卫车辆</w:t>
      </w:r>
      <w:r>
        <w:rPr>
          <w:rFonts w:hint="eastAsia"/>
          <w:lang w:val="en-US" w:eastAsia="zh-CN"/>
        </w:rPr>
        <w:t>专用充电站：结合环卫停保场等具备条件的环卫设施用地布局；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（3）渣土车辆专用充电站：围绕倾倒专用码头、填埋场地等固定作业场地布局；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混凝土</w:t>
      </w:r>
      <w:r>
        <w:rPr>
          <w:rFonts w:hint="eastAsia"/>
          <w:lang w:val="en-US" w:eastAsia="zh-CN"/>
        </w:rPr>
        <w:t>运输</w:t>
      </w:r>
      <w:r>
        <w:rPr>
          <w:rFonts w:hint="eastAsia"/>
        </w:rPr>
        <w:t>车辆</w:t>
      </w:r>
      <w:r>
        <w:rPr>
          <w:rFonts w:hint="eastAsia"/>
          <w:lang w:val="en-US" w:eastAsia="zh-CN"/>
        </w:rPr>
        <w:t>专用充电站：依托</w:t>
      </w:r>
      <w:r>
        <w:rPr>
          <w:rFonts w:hint="eastAsia"/>
        </w:rPr>
        <w:t>混凝土预拌站点</w:t>
      </w:r>
      <w:r>
        <w:rPr>
          <w:rFonts w:hint="eastAsia"/>
          <w:lang w:val="en-US" w:eastAsia="zh-CN"/>
        </w:rPr>
        <w:t>布局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（5）重卡物流车辆专用充电站：</w:t>
      </w:r>
      <w:r>
        <w:rPr>
          <w:rFonts w:hint="eastAsia"/>
        </w:rPr>
        <w:t>结合</w:t>
      </w:r>
      <w:r>
        <w:rPr>
          <w:rFonts w:hint="eastAsia"/>
          <w:lang w:val="en-US" w:eastAsia="zh-CN"/>
        </w:rPr>
        <w:t>工业用地、物流</w:t>
      </w:r>
      <w:r>
        <w:rPr>
          <w:rFonts w:hint="eastAsia"/>
        </w:rPr>
        <w:t>仓储枢纽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货车专用停车场、物流廊道服务区（停车区）等布局。</w:t>
      </w:r>
    </w:p>
    <w:p>
      <w:pPr>
        <w:pStyle w:val="2"/>
        <w:bidi w:val="0"/>
      </w:pPr>
      <w:bookmarkStart w:id="13" w:name="_Toc29845"/>
      <w:r>
        <w:rPr>
          <w:rFonts w:hint="eastAsia"/>
          <w:lang w:val="en-US" w:eastAsia="zh-CN"/>
        </w:rPr>
        <w:t>规划</w:t>
      </w:r>
      <w:r>
        <w:rPr>
          <w:rFonts w:hint="eastAsia"/>
        </w:rPr>
        <w:t>保障</w:t>
      </w:r>
      <w:bookmarkEnd w:id="13"/>
    </w:p>
    <w:p>
      <w:pPr>
        <w:pStyle w:val="3"/>
        <w:tabs>
          <w:tab w:val="clear" w:pos="420"/>
        </w:tabs>
      </w:pPr>
      <w:bookmarkStart w:id="14" w:name="_Toc24318"/>
      <w:r>
        <w:rPr>
          <w:rFonts w:hint="eastAsia"/>
        </w:rPr>
        <w:t>电力</w:t>
      </w:r>
      <w:r>
        <w:rPr>
          <w:rFonts w:hint="eastAsia"/>
          <w:lang w:val="en-US" w:eastAsia="zh-CN"/>
        </w:rPr>
        <w:t>承载保障</w:t>
      </w:r>
      <w:bookmarkEnd w:id="14"/>
    </w:p>
    <w:p>
      <w:pPr>
        <w:ind w:firstLine="560" w:firstLineChars="200"/>
      </w:pPr>
      <w:bookmarkStart w:id="15" w:name="_Toc15911"/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充电设施配套电网建设应纳入市级电网规划，分级强化供配电能力，预留大功率充电区域电网容量，做好电力保障。</w:t>
      </w:r>
    </w:p>
    <w:p>
      <w:pPr>
        <w:pStyle w:val="3"/>
        <w:tabs>
          <w:tab w:val="clear" w:pos="420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资金多元</w:t>
      </w:r>
      <w:r>
        <w:rPr>
          <w:rFonts w:hint="default"/>
          <w:lang w:val="en-US" w:eastAsia="zh-CN"/>
        </w:rPr>
        <w:t>保障</w:t>
      </w:r>
      <w:bookmarkEnd w:id="15"/>
    </w:p>
    <w:p>
      <w:pPr>
        <w:ind w:firstLine="560" w:firstLineChars="200"/>
      </w:pPr>
      <w:bookmarkStart w:id="16" w:name="_Toc9842"/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针对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骨干充电场站</w:t>
      </w:r>
      <w:r>
        <w:rPr>
          <w:rFonts w:hint="default" w:cstheme="minorBidi"/>
          <w:kern w:val="2"/>
          <w:sz w:val="28"/>
          <w:szCs w:val="22"/>
          <w:lang w:eastAsia="zh-CN" w:bidi="ar-SA"/>
          <w14:ligatures w14:val="standardContextual"/>
        </w:rPr>
        <w:t>设施及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乡村</w:t>
      </w:r>
      <w:r>
        <w:rPr>
          <w:rFonts w:hint="default" w:cstheme="minorBidi"/>
          <w:kern w:val="2"/>
          <w:sz w:val="28"/>
          <w:szCs w:val="22"/>
          <w:lang w:eastAsia="zh-CN" w:bidi="ar-SA"/>
          <w14:ligatures w14:val="standardContextual"/>
        </w:rPr>
        <w:t>、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老旧小区等</w:t>
      </w:r>
      <w:r>
        <w:rPr>
          <w:rFonts w:hint="default" w:cstheme="minorBidi"/>
          <w:kern w:val="2"/>
          <w:sz w:val="28"/>
          <w:szCs w:val="22"/>
          <w:lang w:eastAsia="zh-CN" w:bidi="ar-SA"/>
          <w14:ligatures w14:val="standardContextual"/>
        </w:rPr>
        <w:t>充电基础设施薄弱区域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，</w:t>
      </w:r>
      <w:r>
        <w:rPr>
          <w:rFonts w:hint="default" w:cstheme="minorBidi"/>
          <w:kern w:val="2"/>
          <w:sz w:val="28"/>
          <w:szCs w:val="22"/>
          <w:lang w:eastAsia="zh-CN" w:bidi="ar-SA"/>
          <w14:ligatures w14:val="standardContextual"/>
        </w:rPr>
        <w:t>完善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政策支撑体系</w:t>
      </w:r>
      <w:r>
        <w:rPr>
          <w:rFonts w:hint="default" w:cstheme="minorBidi"/>
          <w:kern w:val="2"/>
          <w:sz w:val="28"/>
          <w:szCs w:val="22"/>
          <w:lang w:eastAsia="zh-CN" w:bidi="ar-SA"/>
          <w14:ligatures w14:val="standardContextual"/>
        </w:rPr>
        <w:t>，推动充电网络均衡布局与高质量发展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。</w:t>
      </w:r>
    </w:p>
    <w:p>
      <w:pPr>
        <w:pStyle w:val="3"/>
        <w:tabs>
          <w:tab w:val="clear" w:pos="420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制度机制保障</w:t>
      </w:r>
      <w:bookmarkEnd w:id="16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以跨部门数据共享与协同管理为核心，优化分类审批与绩效监管，推动专用场站共享，确保规划落地高效有序。</w:t>
      </w:r>
    </w:p>
    <w:p>
      <w:pPr>
        <w:pStyle w:val="3"/>
        <w:tabs>
          <w:tab w:val="clear" w:pos="420"/>
        </w:tabs>
        <w:rPr>
          <w:rFonts w:hint="default"/>
          <w:lang w:val="en-US" w:eastAsia="zh-CN"/>
        </w:rPr>
      </w:pPr>
      <w:bookmarkStart w:id="17" w:name="_Toc31087"/>
      <w:r>
        <w:rPr>
          <w:rFonts w:hint="default"/>
          <w:lang w:val="en-US" w:eastAsia="zh-CN"/>
        </w:rPr>
        <w:t>安全运营保障</w:t>
      </w:r>
      <w:bookmarkEnd w:id="17"/>
    </w:p>
    <w:p>
      <w:pPr>
        <w:ind w:firstLine="560" w:firstLineChars="200"/>
      </w:pPr>
      <w:bookmarkStart w:id="18" w:name="_Toc17737"/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建立全生命周期安全管理体系，实施验收、巡检与应急处置机制，强化培训宣传，筑牢安全底线。</w:t>
      </w:r>
    </w:p>
    <w:p>
      <w:pPr>
        <w:pStyle w:val="3"/>
        <w:tabs>
          <w:tab w:val="clear" w:pos="420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便民服务保障</w:t>
      </w:r>
      <w:bookmarkEnd w:id="18"/>
    </w:p>
    <w:p>
      <w:pPr>
        <w:ind w:firstLine="560" w:firstLineChars="200"/>
      </w:pPr>
      <w:bookmarkStart w:id="19" w:name="_Toc6646"/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完善配套设施与智能导航服务，公开信息、畅通反馈，优化流程，提升用户体验。</w:t>
      </w:r>
    </w:p>
    <w:p>
      <w:pPr>
        <w:pStyle w:val="2"/>
        <w:bidi w:val="0"/>
      </w:pPr>
      <w:r>
        <w:rPr>
          <w:rFonts w:hint="eastAsia"/>
        </w:rPr>
        <w:t>近期建设</w:t>
      </w:r>
      <w:r>
        <w:rPr>
          <w:rFonts w:hint="eastAsia"/>
          <w:lang w:val="en-US" w:eastAsia="zh-CN"/>
        </w:rPr>
        <w:t>规划</w:t>
      </w:r>
      <w:bookmarkEnd w:id="19"/>
    </w:p>
    <w:p>
      <w:pPr>
        <w:pStyle w:val="3"/>
        <w:tabs>
          <w:tab w:val="clear" w:pos="420"/>
        </w:tabs>
        <w:rPr>
          <w:rFonts w:hint="eastAsia"/>
          <w:lang w:val="en-US" w:eastAsia="zh-CN"/>
        </w:rPr>
      </w:pPr>
      <w:bookmarkStart w:id="20" w:name="_Toc7986"/>
      <w:r>
        <w:rPr>
          <w:rFonts w:hint="eastAsia"/>
        </w:rPr>
        <w:t>近期建设</w:t>
      </w:r>
      <w:r>
        <w:rPr>
          <w:rFonts w:hint="eastAsia"/>
          <w:lang w:val="en-US" w:eastAsia="zh-CN"/>
        </w:rPr>
        <w:t>核心原则</w:t>
      </w:r>
      <w:bookmarkEnd w:id="20"/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以“供需匹配、网络升级、服务增效”为导向，锚定规划实效与产业需求，统筹推进公用与专用设施建设，实现设施与需求动态适配，筑牢保障基础。</w:t>
      </w:r>
    </w:p>
    <w:p>
      <w:pPr>
        <w:pStyle w:val="3"/>
        <w:tabs>
          <w:tab w:val="clear" w:pos="420"/>
        </w:tabs>
        <w:rPr>
          <w:rFonts w:hint="eastAsia"/>
          <w:lang w:val="en-US" w:eastAsia="zh-CN"/>
        </w:rPr>
      </w:pPr>
      <w:bookmarkStart w:id="21" w:name="_Toc16874"/>
      <w:r>
        <w:rPr>
          <w:rFonts w:hint="eastAsia"/>
          <w:lang w:val="en-US" w:eastAsia="zh-CN"/>
        </w:rPr>
        <w:t>近期建设目标</w:t>
      </w:r>
      <w:bookmarkEnd w:id="21"/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至2030年，建成满足</w:t>
      </w:r>
      <w:r>
        <w:rPr>
          <w:rFonts w:hint="eastAsia" w:cstheme="minorBidi"/>
          <w:kern w:val="2"/>
          <w:sz w:val="28"/>
          <w:szCs w:val="22"/>
          <w:lang w:val="en-US" w:eastAsia="zh-CN" w:bidi="ar-SA"/>
          <w14:ligatures w14:val="standardContextual"/>
        </w:rPr>
        <w:t>全市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新能源汽车充电需求的设施网络，构建城乡均衡、场景适配、补能高效的现代充电服务体系。</w:t>
      </w:r>
    </w:p>
    <w:p>
      <w:pPr>
        <w:pStyle w:val="3"/>
        <w:tabs>
          <w:tab w:val="clear" w:pos="420"/>
        </w:tabs>
        <w:rPr>
          <w:rFonts w:hint="eastAsia"/>
          <w:lang w:val="en-US" w:eastAsia="zh-CN"/>
        </w:rPr>
      </w:pPr>
      <w:bookmarkStart w:id="22" w:name="_Toc19950"/>
      <w:r>
        <w:rPr>
          <w:rFonts w:hint="eastAsia"/>
          <w:lang w:val="en-US" w:eastAsia="zh-CN"/>
        </w:rPr>
        <w:t>近期分类建设</w:t>
      </w:r>
      <w:bookmarkEnd w:id="22"/>
      <w:r>
        <w:rPr>
          <w:rFonts w:hint="eastAsia"/>
          <w:lang w:val="en-US" w:eastAsia="zh-CN"/>
        </w:rPr>
        <w:t>方案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1、公用设施聚焦“补短板、扩覆盖、提能效”，完善城乡公共充电布局，提升服务辐射能力。</w:t>
      </w:r>
    </w:p>
    <w:p>
      <w:pPr>
        <w:ind w:firstLine="560" w:firstLineChars="200"/>
      </w:pP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t>2、专用设施结合补能条件、车辆需求、场地承载等因素，实现市政、物流车辆补能科学布局与利用。</w:t>
      </w:r>
    </w:p>
    <w:p>
      <w:pPr>
        <w:ind w:firstLine="56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3、建设规模：市域范围新（改）建公共充电设施不少于1万个</w:t>
      </w:r>
      <w:r>
        <w:rPr>
          <w:rFonts w:hint="eastAsia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</w:t>
      </w:r>
      <w:bookmarkStart w:id="23" w:name="_Toc14101"/>
      <w:r>
        <w:rPr>
          <w:rFonts w:hint="eastAsia"/>
          <w:lang w:val="en-US" w:eastAsia="zh-CN"/>
        </w:rPr>
        <w:t>图集</w:t>
      </w:r>
      <w:bookmarkEnd w:id="23"/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规划范围图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规划公共充电设施空间分区图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规划公共充电设施规模分区图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规划公共充电设施（骨干/专用）布点图</w:t>
      </w:r>
    </w:p>
    <w:p>
      <w:pPr>
        <w:ind w:firstLine="560" w:firstLineChars="200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仿宋_GB2312" w:cstheme="minorBidi"/>
          <w:kern w:val="2"/>
          <w:sz w:val="28"/>
          <w:szCs w:val="22"/>
          <w:lang w:val="en-US" w:eastAsia="zh-CN" w:bidi="ar-SA"/>
          <w14:ligatures w14:val="standardContextual"/>
        </w:rPr>
        <w:br w:type="page"/>
      </w:r>
    </w:p>
    <w:p>
      <w:pPr>
        <w:ind w:left="0" w:leftChars="0" w:firstLine="0" w:firstLineChars="0"/>
        <w:rPr>
          <w:rFonts w:hint="default" w:cstheme="minorBidi"/>
          <w:kern w:val="2"/>
          <w:sz w:val="28"/>
          <w:szCs w:val="22"/>
          <w:lang w:val="en-US" w:eastAsia="zh-CN" w:bidi="ar-SA"/>
          <w14:ligatures w14:val="standardContextual"/>
        </w:rPr>
      </w:pPr>
      <w:r>
        <w:rPr>
          <w:rFonts w:hint="default" w:cstheme="minorBidi"/>
          <w:kern w:val="2"/>
          <w:sz w:val="28"/>
          <w:szCs w:val="22"/>
          <w:lang w:val="en-US" w:eastAsia="zh-CN" w:bidi="ar-SA"/>
          <w14:ligatures w14:val="standardContextual"/>
        </w:rPr>
        <w:drawing>
          <wp:inline distT="0" distB="0" distL="114300" distR="114300">
            <wp:extent cx="5260340" cy="3719195"/>
            <wp:effectExtent l="0" t="0" r="16510" b="14605"/>
            <wp:docPr id="4" name="图片 4" descr="充电专项草案公示图集（251126）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充电专项草案公示图集（251126）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theme="minorBidi"/>
          <w:kern w:val="2"/>
          <w:sz w:val="28"/>
          <w:szCs w:val="22"/>
          <w:lang w:val="en-US" w:eastAsia="zh-CN" w:bidi="ar-SA"/>
          <w14:ligatures w14:val="standardContextual"/>
        </w:rPr>
        <w:drawing>
          <wp:inline distT="0" distB="0" distL="114300" distR="114300">
            <wp:extent cx="5260340" cy="3719195"/>
            <wp:effectExtent l="0" t="0" r="16510" b="14605"/>
            <wp:docPr id="3" name="图片 3" descr="充电专项草案公示图集（251126）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充电专项草案公示图集（251126）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theme="minorBidi"/>
          <w:kern w:val="2"/>
          <w:sz w:val="28"/>
          <w:szCs w:val="22"/>
          <w:lang w:val="en-US" w:eastAsia="zh-CN" w:bidi="ar-SA"/>
          <w14:ligatures w14:val="standardContextual"/>
        </w:rPr>
        <w:drawing>
          <wp:inline distT="0" distB="0" distL="114300" distR="114300">
            <wp:extent cx="5260340" cy="3719195"/>
            <wp:effectExtent l="0" t="0" r="16510" b="14605"/>
            <wp:docPr id="2" name="图片 2" descr="充电专项草案公示图集（251126）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充电专项草案公示图集（251126）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theme="minorBidi"/>
          <w:kern w:val="2"/>
          <w:sz w:val="28"/>
          <w:szCs w:val="22"/>
          <w:lang w:val="en-US" w:eastAsia="zh-CN" w:bidi="ar-SA"/>
          <w14:ligatures w14:val="standardContextual"/>
        </w:rPr>
        <w:drawing>
          <wp:inline distT="0" distB="0" distL="114300" distR="114300">
            <wp:extent cx="5260340" cy="3719195"/>
            <wp:effectExtent l="0" t="0" r="16510" b="14605"/>
            <wp:docPr id="1" name="图片 1" descr="充电专项草案公示图集（251126）_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充电专项草案公示图集（251126）_0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default" w:cstheme="minorBidi"/>
          <w:kern w:val="2"/>
          <w:sz w:val="28"/>
          <w:szCs w:val="22"/>
          <w:lang w:val="en-US" w:eastAsia="zh-CN" w:bidi="ar-SA"/>
          <w14:ligatures w14:val="standardContextual"/>
        </w:rPr>
      </w:pPr>
    </w:p>
    <w:p>
      <w:pPr>
        <w:ind w:left="0" w:leftChars="0" w:firstLine="0" w:firstLineChars="0"/>
        <w:rPr>
          <w:rFonts w:hint="default" w:cstheme="minorBidi"/>
          <w:kern w:val="2"/>
          <w:sz w:val="28"/>
          <w:szCs w:val="22"/>
          <w:lang w:val="en-US" w:eastAsia="zh-CN" w:bidi="ar-SA"/>
          <w14:ligatures w14:val="standardContextual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细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44DE1"/>
    <w:multiLevelType w:val="singleLevel"/>
    <w:tmpl w:val="D5C44DE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31CB907"/>
    <w:multiLevelType w:val="singleLevel"/>
    <w:tmpl w:val="E31CB907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09F9828B"/>
    <w:multiLevelType w:val="multilevel"/>
    <w:tmpl w:val="09F9828B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0"/>
        </w:tabs>
        <w:ind w:left="1033" w:hanging="1033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1129" w:hanging="709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lvlText w:val="（00%4）"/>
      <w:lvlJc w:val="left"/>
      <w:pPr>
        <w:tabs>
          <w:tab w:val="left" w:pos="420"/>
        </w:tabs>
        <w:ind w:left="0" w:firstLine="48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bullet"/>
      <w:lvlText w:val=""/>
      <w:lvlJc w:val="left"/>
      <w:pPr>
        <w:tabs>
          <w:tab w:val="left" w:pos="0"/>
        </w:tabs>
        <w:ind w:left="0" w:firstLine="480"/>
      </w:pPr>
      <w:rPr>
        <w:rFonts w:hint="default" w:ascii="Wingdings" w:hAnsi="Wingdings" w:cs="Wingdings"/>
      </w:rPr>
    </w:lvl>
    <w:lvl w:ilvl="5" w:tentative="0">
      <w:start w:val="1"/>
      <w:numFmt w:val="decimal"/>
      <w:lvlRestart w:val="1"/>
      <w:lvlText w:val="图%1.%6 "/>
      <w:lvlJc w:val="left"/>
      <w:pPr>
        <w:tabs>
          <w:tab w:val="left" w:pos="420"/>
        </w:tabs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6" w:tentative="0">
      <w:start w:val="1"/>
      <w:numFmt w:val="decimal"/>
      <w:lvlRestart w:val="1"/>
      <w:suff w:val="space"/>
      <w:lvlText w:val="表%1.%7 "/>
      <w:lvlJc w:val="left"/>
      <w:pPr>
        <w:tabs>
          <w:tab w:val="left" w:pos="0"/>
        </w:tabs>
        <w:ind w:left="0" w:leftChars="0" w:firstLine="1277" w:firstLineChars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7" w:tentative="0">
      <w:start w:val="1"/>
      <w:numFmt w:val="decimal"/>
      <w:lvlText w:val="%8%1.%2.%3.%4"/>
      <w:lvlJc w:val="left"/>
      <w:pPr>
        <w:tabs>
          <w:tab w:val="left" w:pos="1838"/>
        </w:tabs>
        <w:ind w:left="1838" w:hanging="1418"/>
      </w:pPr>
      <w:rPr>
        <w:rFonts w:hint="eastAsia"/>
      </w:rPr>
    </w:lvl>
    <w:lvl w:ilvl="8" w:tentative="0">
      <w:start w:val="1"/>
      <w:numFmt w:val="decimal"/>
      <w:lvlText w:val="%1.%2.%3.%4..%6.%7.%8.%9."/>
      <w:lvlJc w:val="left"/>
      <w:pPr>
        <w:tabs>
          <w:tab w:val="left" w:pos="1979"/>
        </w:tabs>
        <w:ind w:left="1979" w:hanging="1559"/>
      </w:pPr>
      <w:rPr>
        <w:rFonts w:hint="eastAsia"/>
      </w:rPr>
    </w:lvl>
  </w:abstractNum>
  <w:abstractNum w:abstractNumId="3">
    <w:nsid w:val="617F0C7A"/>
    <w:multiLevelType w:val="multilevel"/>
    <w:tmpl w:val="617F0C7A"/>
    <w:lvl w:ilvl="0" w:tentative="0">
      <w:start w:val="1"/>
      <w:numFmt w:val="decimal"/>
      <w:pStyle w:val="4"/>
      <w:lvlText w:val="表1.%1"/>
      <w:lvlJc w:val="center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trackRevisions w:val="1"/>
  <w:documentProtection w:enforcement="0"/>
  <w:defaultTabStop w:val="0"/>
  <w:drawingGridHorizontalSpacing w:val="120"/>
  <w:drawingGridVerticalSpacing w:val="16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068"/>
    <w:rsid w:val="00013AC2"/>
    <w:rsid w:val="00013F92"/>
    <w:rsid w:val="00016B3F"/>
    <w:rsid w:val="00024B27"/>
    <w:rsid w:val="00032245"/>
    <w:rsid w:val="0003404D"/>
    <w:rsid w:val="00040691"/>
    <w:rsid w:val="00040754"/>
    <w:rsid w:val="00051E16"/>
    <w:rsid w:val="00061575"/>
    <w:rsid w:val="000835D1"/>
    <w:rsid w:val="00084686"/>
    <w:rsid w:val="00086FDF"/>
    <w:rsid w:val="000873DD"/>
    <w:rsid w:val="00097209"/>
    <w:rsid w:val="000A0A77"/>
    <w:rsid w:val="000A253B"/>
    <w:rsid w:val="000A2845"/>
    <w:rsid w:val="000A2E77"/>
    <w:rsid w:val="000B0A42"/>
    <w:rsid w:val="000F3524"/>
    <w:rsid w:val="000F6384"/>
    <w:rsid w:val="0010024D"/>
    <w:rsid w:val="001047E5"/>
    <w:rsid w:val="00111FA3"/>
    <w:rsid w:val="00117CAB"/>
    <w:rsid w:val="00121D87"/>
    <w:rsid w:val="00142381"/>
    <w:rsid w:val="001642C0"/>
    <w:rsid w:val="001732BC"/>
    <w:rsid w:val="001842C9"/>
    <w:rsid w:val="001912EC"/>
    <w:rsid w:val="001922BE"/>
    <w:rsid w:val="001A392E"/>
    <w:rsid w:val="001B1BD6"/>
    <w:rsid w:val="001E2484"/>
    <w:rsid w:val="00204A0C"/>
    <w:rsid w:val="00222BE4"/>
    <w:rsid w:val="002253B2"/>
    <w:rsid w:val="002339DC"/>
    <w:rsid w:val="0024495B"/>
    <w:rsid w:val="00264E21"/>
    <w:rsid w:val="00264FBC"/>
    <w:rsid w:val="00265113"/>
    <w:rsid w:val="002675B2"/>
    <w:rsid w:val="002834CB"/>
    <w:rsid w:val="002869F8"/>
    <w:rsid w:val="00286E77"/>
    <w:rsid w:val="00294E7D"/>
    <w:rsid w:val="002A1996"/>
    <w:rsid w:val="002B6493"/>
    <w:rsid w:val="002B7A99"/>
    <w:rsid w:val="002C0863"/>
    <w:rsid w:val="002C2F75"/>
    <w:rsid w:val="002C6741"/>
    <w:rsid w:val="002E38E9"/>
    <w:rsid w:val="002E7D99"/>
    <w:rsid w:val="002F428B"/>
    <w:rsid w:val="002F4C2A"/>
    <w:rsid w:val="003140B8"/>
    <w:rsid w:val="003154EA"/>
    <w:rsid w:val="00317943"/>
    <w:rsid w:val="003340F5"/>
    <w:rsid w:val="003402BB"/>
    <w:rsid w:val="00351A26"/>
    <w:rsid w:val="00353364"/>
    <w:rsid w:val="003624C3"/>
    <w:rsid w:val="00362ED9"/>
    <w:rsid w:val="00367F82"/>
    <w:rsid w:val="00372F58"/>
    <w:rsid w:val="003751E3"/>
    <w:rsid w:val="003B0DC5"/>
    <w:rsid w:val="003B3C40"/>
    <w:rsid w:val="003D0297"/>
    <w:rsid w:val="003D226E"/>
    <w:rsid w:val="003D6BFB"/>
    <w:rsid w:val="003E0EE9"/>
    <w:rsid w:val="003E18D0"/>
    <w:rsid w:val="003E1D29"/>
    <w:rsid w:val="003F0014"/>
    <w:rsid w:val="003F0904"/>
    <w:rsid w:val="003F1BB5"/>
    <w:rsid w:val="00402230"/>
    <w:rsid w:val="004065D0"/>
    <w:rsid w:val="00415DFF"/>
    <w:rsid w:val="0042677D"/>
    <w:rsid w:val="00430918"/>
    <w:rsid w:val="004375A0"/>
    <w:rsid w:val="00456A7D"/>
    <w:rsid w:val="00485DA5"/>
    <w:rsid w:val="004877C6"/>
    <w:rsid w:val="004A2C31"/>
    <w:rsid w:val="004D3154"/>
    <w:rsid w:val="004D4A2C"/>
    <w:rsid w:val="004E34F2"/>
    <w:rsid w:val="0050577E"/>
    <w:rsid w:val="00506902"/>
    <w:rsid w:val="00512443"/>
    <w:rsid w:val="00512D32"/>
    <w:rsid w:val="00512DFB"/>
    <w:rsid w:val="00516121"/>
    <w:rsid w:val="00521DBE"/>
    <w:rsid w:val="005251F7"/>
    <w:rsid w:val="00527833"/>
    <w:rsid w:val="00527A96"/>
    <w:rsid w:val="005378CD"/>
    <w:rsid w:val="00552428"/>
    <w:rsid w:val="00561E49"/>
    <w:rsid w:val="005650AD"/>
    <w:rsid w:val="00567E2C"/>
    <w:rsid w:val="0057501B"/>
    <w:rsid w:val="00575BAD"/>
    <w:rsid w:val="00590C42"/>
    <w:rsid w:val="00595D70"/>
    <w:rsid w:val="005A3377"/>
    <w:rsid w:val="005A45CE"/>
    <w:rsid w:val="005B1C78"/>
    <w:rsid w:val="005B72D1"/>
    <w:rsid w:val="005C29BF"/>
    <w:rsid w:val="005C6C04"/>
    <w:rsid w:val="005D6B26"/>
    <w:rsid w:val="005F4ECD"/>
    <w:rsid w:val="0060588F"/>
    <w:rsid w:val="00625CC7"/>
    <w:rsid w:val="00625EA9"/>
    <w:rsid w:val="006275D8"/>
    <w:rsid w:val="00636B3F"/>
    <w:rsid w:val="00637778"/>
    <w:rsid w:val="0064413F"/>
    <w:rsid w:val="006468E7"/>
    <w:rsid w:val="00675079"/>
    <w:rsid w:val="006847BD"/>
    <w:rsid w:val="0068743B"/>
    <w:rsid w:val="00697A8A"/>
    <w:rsid w:val="00697A8F"/>
    <w:rsid w:val="006C1FD6"/>
    <w:rsid w:val="006F048F"/>
    <w:rsid w:val="006F24CC"/>
    <w:rsid w:val="007051EF"/>
    <w:rsid w:val="00706EB2"/>
    <w:rsid w:val="007211DC"/>
    <w:rsid w:val="00724BC3"/>
    <w:rsid w:val="0072611F"/>
    <w:rsid w:val="00733487"/>
    <w:rsid w:val="00735BE6"/>
    <w:rsid w:val="007463FB"/>
    <w:rsid w:val="007710AD"/>
    <w:rsid w:val="007862B1"/>
    <w:rsid w:val="00791A7A"/>
    <w:rsid w:val="00794AF0"/>
    <w:rsid w:val="007A0B9E"/>
    <w:rsid w:val="007C0201"/>
    <w:rsid w:val="007C5C2A"/>
    <w:rsid w:val="007C5F81"/>
    <w:rsid w:val="007C6B72"/>
    <w:rsid w:val="007D1C02"/>
    <w:rsid w:val="007E350C"/>
    <w:rsid w:val="007F3157"/>
    <w:rsid w:val="008313C7"/>
    <w:rsid w:val="00847223"/>
    <w:rsid w:val="0085419A"/>
    <w:rsid w:val="0086630D"/>
    <w:rsid w:val="0087790E"/>
    <w:rsid w:val="00887708"/>
    <w:rsid w:val="008A3744"/>
    <w:rsid w:val="008A4B31"/>
    <w:rsid w:val="008B7837"/>
    <w:rsid w:val="008B7C19"/>
    <w:rsid w:val="008D1950"/>
    <w:rsid w:val="008E6143"/>
    <w:rsid w:val="008F232E"/>
    <w:rsid w:val="008F5F37"/>
    <w:rsid w:val="008F7813"/>
    <w:rsid w:val="00905998"/>
    <w:rsid w:val="00917188"/>
    <w:rsid w:val="00922736"/>
    <w:rsid w:val="00945775"/>
    <w:rsid w:val="00955498"/>
    <w:rsid w:val="00957A32"/>
    <w:rsid w:val="00957DC1"/>
    <w:rsid w:val="00966D44"/>
    <w:rsid w:val="009715C4"/>
    <w:rsid w:val="009752ED"/>
    <w:rsid w:val="00981761"/>
    <w:rsid w:val="009A358D"/>
    <w:rsid w:val="009A7C64"/>
    <w:rsid w:val="009C044E"/>
    <w:rsid w:val="009C24DF"/>
    <w:rsid w:val="009C4F15"/>
    <w:rsid w:val="009E102D"/>
    <w:rsid w:val="00A01A89"/>
    <w:rsid w:val="00A01CB5"/>
    <w:rsid w:val="00A139CF"/>
    <w:rsid w:val="00A14CE1"/>
    <w:rsid w:val="00A2026F"/>
    <w:rsid w:val="00A2181F"/>
    <w:rsid w:val="00A229FC"/>
    <w:rsid w:val="00A5212B"/>
    <w:rsid w:val="00A5237A"/>
    <w:rsid w:val="00A56EFD"/>
    <w:rsid w:val="00A80268"/>
    <w:rsid w:val="00A92870"/>
    <w:rsid w:val="00AA1031"/>
    <w:rsid w:val="00AA1EAE"/>
    <w:rsid w:val="00AB44EB"/>
    <w:rsid w:val="00AD0A6C"/>
    <w:rsid w:val="00AE5F7B"/>
    <w:rsid w:val="00AF0C25"/>
    <w:rsid w:val="00AF5B44"/>
    <w:rsid w:val="00AF7BE6"/>
    <w:rsid w:val="00B04779"/>
    <w:rsid w:val="00B053BD"/>
    <w:rsid w:val="00B0589A"/>
    <w:rsid w:val="00B13C91"/>
    <w:rsid w:val="00B14DEB"/>
    <w:rsid w:val="00B16E89"/>
    <w:rsid w:val="00B40D57"/>
    <w:rsid w:val="00B51864"/>
    <w:rsid w:val="00B51D96"/>
    <w:rsid w:val="00B61912"/>
    <w:rsid w:val="00B61D7A"/>
    <w:rsid w:val="00B65A82"/>
    <w:rsid w:val="00B67CF9"/>
    <w:rsid w:val="00B73318"/>
    <w:rsid w:val="00B80C8F"/>
    <w:rsid w:val="00B83C98"/>
    <w:rsid w:val="00B85AB4"/>
    <w:rsid w:val="00B9258A"/>
    <w:rsid w:val="00BA52D3"/>
    <w:rsid w:val="00BA593B"/>
    <w:rsid w:val="00BB2A1C"/>
    <w:rsid w:val="00BC1EE0"/>
    <w:rsid w:val="00BC2DC8"/>
    <w:rsid w:val="00BC6649"/>
    <w:rsid w:val="00BC6B66"/>
    <w:rsid w:val="00C00A77"/>
    <w:rsid w:val="00C02D1A"/>
    <w:rsid w:val="00C068A2"/>
    <w:rsid w:val="00C16EDE"/>
    <w:rsid w:val="00C17553"/>
    <w:rsid w:val="00C33E6B"/>
    <w:rsid w:val="00C40404"/>
    <w:rsid w:val="00C53002"/>
    <w:rsid w:val="00C556AD"/>
    <w:rsid w:val="00C56251"/>
    <w:rsid w:val="00C613A9"/>
    <w:rsid w:val="00C61562"/>
    <w:rsid w:val="00C8052C"/>
    <w:rsid w:val="00C83D3D"/>
    <w:rsid w:val="00CA3F80"/>
    <w:rsid w:val="00CB007B"/>
    <w:rsid w:val="00CB261F"/>
    <w:rsid w:val="00CB6827"/>
    <w:rsid w:val="00CC3CA0"/>
    <w:rsid w:val="00CC7778"/>
    <w:rsid w:val="00CD03A4"/>
    <w:rsid w:val="00CD39E6"/>
    <w:rsid w:val="00CD7D77"/>
    <w:rsid w:val="00D056E1"/>
    <w:rsid w:val="00D403C2"/>
    <w:rsid w:val="00D53DF2"/>
    <w:rsid w:val="00D6012F"/>
    <w:rsid w:val="00D95F28"/>
    <w:rsid w:val="00DA0F15"/>
    <w:rsid w:val="00DA6B74"/>
    <w:rsid w:val="00DB00A4"/>
    <w:rsid w:val="00DB1193"/>
    <w:rsid w:val="00DB622A"/>
    <w:rsid w:val="00DC4857"/>
    <w:rsid w:val="00DF0B97"/>
    <w:rsid w:val="00E03E30"/>
    <w:rsid w:val="00E05283"/>
    <w:rsid w:val="00E207BA"/>
    <w:rsid w:val="00E20F57"/>
    <w:rsid w:val="00E3663A"/>
    <w:rsid w:val="00E474AF"/>
    <w:rsid w:val="00E60E50"/>
    <w:rsid w:val="00E83BCE"/>
    <w:rsid w:val="00E97658"/>
    <w:rsid w:val="00EA3C45"/>
    <w:rsid w:val="00EA4C4E"/>
    <w:rsid w:val="00EA64BA"/>
    <w:rsid w:val="00EC6DA4"/>
    <w:rsid w:val="00ED34D5"/>
    <w:rsid w:val="00ED7307"/>
    <w:rsid w:val="00EF30FA"/>
    <w:rsid w:val="00EF4658"/>
    <w:rsid w:val="00F0355F"/>
    <w:rsid w:val="00F169AB"/>
    <w:rsid w:val="00F17009"/>
    <w:rsid w:val="00F20DD4"/>
    <w:rsid w:val="00F318A4"/>
    <w:rsid w:val="00F32977"/>
    <w:rsid w:val="00F35C89"/>
    <w:rsid w:val="00F42AF0"/>
    <w:rsid w:val="00F42C5E"/>
    <w:rsid w:val="00F475C8"/>
    <w:rsid w:val="00F50B0B"/>
    <w:rsid w:val="00F54F6A"/>
    <w:rsid w:val="00F56C0D"/>
    <w:rsid w:val="00F60CCA"/>
    <w:rsid w:val="00F705F9"/>
    <w:rsid w:val="00F856A5"/>
    <w:rsid w:val="00F87B79"/>
    <w:rsid w:val="00F946FD"/>
    <w:rsid w:val="00FA3EB2"/>
    <w:rsid w:val="00FB1381"/>
    <w:rsid w:val="00FB3F96"/>
    <w:rsid w:val="00FB5179"/>
    <w:rsid w:val="00FD2826"/>
    <w:rsid w:val="00FD762C"/>
    <w:rsid w:val="00FE2901"/>
    <w:rsid w:val="00FE4002"/>
    <w:rsid w:val="00FF0172"/>
    <w:rsid w:val="00FF0B3E"/>
    <w:rsid w:val="015754F6"/>
    <w:rsid w:val="02537F6F"/>
    <w:rsid w:val="05F72A1E"/>
    <w:rsid w:val="08BF6453"/>
    <w:rsid w:val="0B927BA2"/>
    <w:rsid w:val="0CA746F4"/>
    <w:rsid w:val="134336C3"/>
    <w:rsid w:val="1B087B35"/>
    <w:rsid w:val="1C7D6F63"/>
    <w:rsid w:val="1E4F431C"/>
    <w:rsid w:val="2F492407"/>
    <w:rsid w:val="322A49DC"/>
    <w:rsid w:val="351654D5"/>
    <w:rsid w:val="3D97161F"/>
    <w:rsid w:val="3EA70758"/>
    <w:rsid w:val="3F3FC769"/>
    <w:rsid w:val="43C01B92"/>
    <w:rsid w:val="452458BF"/>
    <w:rsid w:val="496E4926"/>
    <w:rsid w:val="4D2E50D6"/>
    <w:rsid w:val="52A83C95"/>
    <w:rsid w:val="6D4D3E21"/>
    <w:rsid w:val="6FC30114"/>
    <w:rsid w:val="72126920"/>
    <w:rsid w:val="7382356F"/>
    <w:rsid w:val="781400F4"/>
    <w:rsid w:val="7EF79D19"/>
    <w:rsid w:val="7FF9958E"/>
    <w:rsid w:val="ECBC0F19"/>
    <w:rsid w:val="F7FF91B6"/>
    <w:rsid w:val="FB09ACA8"/>
    <w:rsid w:val="FF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200" w:after="200"/>
      <w:ind w:left="1033" w:hanging="1033" w:firstLineChars="0"/>
      <w:outlineLvl w:val="0"/>
    </w:pPr>
    <w:rPr>
      <w:rFonts w:eastAsia="黑体" w:cstheme="majorBidi"/>
      <w:b/>
      <w:sz w:val="36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tabs>
        <w:tab w:val="left" w:pos="420"/>
      </w:tabs>
      <w:spacing w:before="160" w:after="80"/>
      <w:ind w:left="1033" w:hanging="1033" w:firstLineChars="0"/>
      <w:outlineLvl w:val="1"/>
    </w:pPr>
    <w:rPr>
      <w:rFonts w:cstheme="majorBidi"/>
      <w:b/>
      <w:sz w:val="3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numPr>
        <w:ilvl w:val="0"/>
        <w:numId w:val="2"/>
      </w:numPr>
      <w:spacing w:before="40" w:after="80"/>
      <w:ind w:left="442" w:hanging="442"/>
      <w:jc w:val="center"/>
      <w:outlineLvl w:val="2"/>
    </w:pPr>
    <w:rPr>
      <w:rFonts w:cstheme="majorBidi"/>
      <w:b/>
      <w:sz w:val="24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ind w:firstLine="0" w:firstLineChars="0"/>
    </w:p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oc 2"/>
    <w:basedOn w:val="1"/>
    <w:next w:val="1"/>
    <w:unhideWhenUsed/>
    <w:qFormat/>
    <w:uiPriority w:val="39"/>
    <w:pPr>
      <w:ind w:left="0" w:leftChars="0"/>
    </w:pPr>
    <w:rPr>
      <w:sz w:val="24"/>
    </w:rPr>
  </w:style>
  <w:style w:type="paragraph" w:styleId="18">
    <w:name w:val="Title"/>
    <w:basedOn w:val="1"/>
    <w:next w:val="1"/>
    <w:link w:val="31"/>
    <w:qFormat/>
    <w:uiPriority w:val="0"/>
    <w:pPr>
      <w:spacing w:after="80"/>
      <w:ind w:firstLine="0" w:firstLineChars="0"/>
      <w:contextualSpacing/>
      <w:jc w:val="center"/>
    </w:pPr>
    <w:rPr>
      <w:rFonts w:eastAsia="黑体" w:asciiTheme="majorAscii" w:hAnsiTheme="majorAscii" w:cstheme="majorBidi"/>
      <w:b/>
      <w:spacing w:val="-10"/>
      <w:kern w:val="28"/>
      <w:sz w:val="48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link w:val="2"/>
    <w:qFormat/>
    <w:uiPriority w:val="9"/>
    <w:rPr>
      <w:rFonts w:ascii="Times New Roman" w:hAnsi="Times New Roman" w:eastAsia="黑体" w:cstheme="majorBidi"/>
      <w:b/>
      <w:kern w:val="2"/>
      <w:sz w:val="36"/>
      <w:szCs w:val="48"/>
      <w:lang w:val="en-US" w:eastAsia="zh-CN" w:bidi="ar-SA"/>
      <w14:ligatures w14:val="standardContextual"/>
    </w:rPr>
  </w:style>
  <w:style w:type="character" w:customStyle="1" w:styleId="23">
    <w:name w:val="标题 2 字符"/>
    <w:basedOn w:val="21"/>
    <w:link w:val="3"/>
    <w:qFormat/>
    <w:uiPriority w:val="9"/>
    <w:rPr>
      <w:rFonts w:ascii="Times New Roman" w:hAnsi="Times New Roman" w:eastAsia="仿宋_GB2312" w:cstheme="majorBidi"/>
      <w:b/>
      <w:sz w:val="30"/>
      <w:szCs w:val="40"/>
    </w:rPr>
  </w:style>
  <w:style w:type="character" w:customStyle="1" w:styleId="24">
    <w:name w:val="标题 3 字符"/>
    <w:basedOn w:val="21"/>
    <w:link w:val="4"/>
    <w:qFormat/>
    <w:uiPriority w:val="9"/>
    <w:rPr>
      <w:rFonts w:ascii="Times New Roman" w:hAnsi="Times New Roman" w:eastAsia="仿宋_GB2312" w:cstheme="majorBidi"/>
      <w:b/>
      <w:sz w:val="24"/>
      <w:szCs w:val="32"/>
    </w:rPr>
  </w:style>
  <w:style w:type="character" w:customStyle="1" w:styleId="25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8"/>
    <w:qFormat/>
    <w:uiPriority w:val="10"/>
    <w:rPr>
      <w:rFonts w:eastAsia="黑体" w:asciiTheme="majorAscii" w:hAnsiTheme="majorAscii" w:cstheme="majorBidi"/>
      <w:b/>
      <w:spacing w:val="-10"/>
      <w:kern w:val="28"/>
      <w:sz w:val="48"/>
      <w:szCs w:val="56"/>
    </w:rPr>
  </w:style>
  <w:style w:type="character" w:customStyle="1" w:styleId="32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页眉 字符"/>
    <w:basedOn w:val="21"/>
    <w:link w:val="1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4">
    <w:name w:val="页脚 字符"/>
    <w:basedOn w:val="21"/>
    <w:link w:val="13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5">
    <w:name w:val="表格文字"/>
    <w:basedOn w:val="1"/>
    <w:qFormat/>
    <w:uiPriority w:val="0"/>
    <w:pPr>
      <w:spacing w:line="240" w:lineRule="auto"/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2409</Words>
  <Characters>2435</Characters>
  <Lines>949</Lines>
  <Paragraphs>1168</Paragraphs>
  <TotalTime>63</TotalTime>
  <ScaleCrop>false</ScaleCrop>
  <LinksUpToDate>false</LinksUpToDate>
  <CharactersWithSpaces>2435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2025-05-23T16:01:00Z</dcterms:created>
  <dc:creator>LI Xiaoxuan</dc:creator>
  <cp:lastModifiedBy>user</cp:lastModifiedBy>
  <dcterms:modified xsi:type="dcterms:W3CDTF">2025-12-01T15:46:30Z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eyJoZGlkIjoiZWUyYTg3YTFiMDgyYWM5ODViNzk3Mzc0NDliYTRhNWYiLCJ1c2VySWQiOiIzMjQ4MzM1ODkifQ==</vt:lpwstr>
  </property>
  <property fmtid="{D5CDD505-2E9C-101B-9397-08002B2CF9AE}" pid="3" name="KSOProductBuildVer">
    <vt:lpwstr>2052-11.8.2.10953</vt:lpwstr>
  </property>
  <property fmtid="{D5CDD505-2E9C-101B-9397-08002B2CF9AE}" pid="4" name="ICV">
    <vt:lpwstr>0875CCE559E24C039D8CA81B9E19998D_13</vt:lpwstr>
  </property>
</Properties>
</file>