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28DC" w14:textId="77777777" w:rsidR="00372D37" w:rsidRDefault="00000000">
      <w:pPr>
        <w:spacing w:line="560" w:lineRule="exact"/>
        <w:outlineLvl w:val="1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7D17679F" w14:textId="77777777" w:rsidR="00372D37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项目资金申请报告编制要点</w:t>
      </w:r>
    </w:p>
    <w:p w14:paraId="05EF2797" w14:textId="77777777" w:rsidR="00372D37" w:rsidRDefault="00372D37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 w:hint="eastAsia"/>
          <w:sz w:val="36"/>
          <w:szCs w:val="28"/>
        </w:rPr>
      </w:pPr>
    </w:p>
    <w:p w14:paraId="42CE83D4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一、项目单位基本情况</w:t>
      </w:r>
    </w:p>
    <w:p w14:paraId="07A429CC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（一）单位名称、成立时间、办公地点、企业性质、企业法人、企业股东、注册资金、经营范围、公司人员规模、</w:t>
      </w:r>
      <w:r>
        <w:rPr>
          <w:rFonts w:ascii="Times New Roman" w:eastAsia="仿宋_GB2312" w:hAnsi="Times New Roman" w:cs="Times New Roman" w:hint="eastAsia"/>
          <w:sz w:val="32"/>
        </w:rPr>
        <w:t>202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年主营业务收入、固定资产。</w:t>
      </w:r>
    </w:p>
    <w:p w14:paraId="3FE4190D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（二）充电设施</w:t>
      </w:r>
      <w:r>
        <w:rPr>
          <w:rFonts w:ascii="Times New Roman" w:eastAsia="仿宋_GB2312" w:hAnsi="Times New Roman" w:cs="Times New Roman"/>
          <w:sz w:val="32"/>
        </w:rPr>
        <w:t>建设运营</w:t>
      </w:r>
      <w:r>
        <w:rPr>
          <w:rFonts w:ascii="Times New Roman" w:eastAsia="仿宋_GB2312" w:hAnsi="Times New Roman" w:cs="Times New Roman" w:hint="eastAsia"/>
          <w:sz w:val="32"/>
        </w:rPr>
        <w:t>经验</w:t>
      </w:r>
      <w:r>
        <w:rPr>
          <w:rFonts w:ascii="Times New Roman" w:eastAsia="仿宋_GB2312" w:hAnsi="Times New Roman" w:cs="Times New Roman"/>
          <w:sz w:val="32"/>
        </w:rPr>
        <w:t>及特点，</w:t>
      </w:r>
      <w:r>
        <w:rPr>
          <w:rFonts w:ascii="Times New Roman" w:eastAsia="仿宋_GB2312" w:hAnsi="Times New Roman" w:cs="Times New Roman" w:hint="eastAsia"/>
          <w:sz w:val="32"/>
        </w:rPr>
        <w:t>京内外充电设施建设规模等内容。</w:t>
      </w:r>
    </w:p>
    <w:p w14:paraId="2CA1EC6E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二、项目的基本情况</w:t>
      </w:r>
    </w:p>
    <w:p w14:paraId="5AF7F03B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项目名称、建设地点（打包</w:t>
      </w:r>
      <w:r>
        <w:rPr>
          <w:rFonts w:ascii="Times New Roman" w:eastAsia="仿宋_GB2312" w:hAnsi="Times New Roman" w:cs="Times New Roman"/>
          <w:sz w:val="32"/>
        </w:rPr>
        <w:t>项目请逐一列出建设</w:t>
      </w:r>
      <w:r>
        <w:rPr>
          <w:rFonts w:ascii="Times New Roman" w:eastAsia="仿宋_GB2312" w:hAnsi="Times New Roman" w:cs="Times New Roman" w:hint="eastAsia"/>
          <w:sz w:val="32"/>
        </w:rPr>
        <w:t>的</w:t>
      </w:r>
      <w:r>
        <w:rPr>
          <w:rFonts w:ascii="Times New Roman" w:eastAsia="仿宋_GB2312" w:hAnsi="Times New Roman" w:cs="Times New Roman"/>
          <w:sz w:val="32"/>
        </w:rPr>
        <w:t>详细地址</w:t>
      </w:r>
      <w:r>
        <w:rPr>
          <w:rFonts w:ascii="Times New Roman" w:eastAsia="仿宋_GB2312" w:hAnsi="Times New Roman" w:cs="Times New Roman" w:hint="eastAsia"/>
          <w:sz w:val="32"/>
        </w:rPr>
        <w:t>）、建设内容及规模（打包项目</w:t>
      </w:r>
      <w:r>
        <w:rPr>
          <w:rFonts w:ascii="Times New Roman" w:eastAsia="仿宋_GB2312" w:hAnsi="Times New Roman" w:cs="Times New Roman"/>
          <w:sz w:val="32"/>
        </w:rPr>
        <w:t>逐一</w:t>
      </w:r>
      <w:r>
        <w:rPr>
          <w:rFonts w:ascii="Times New Roman" w:eastAsia="仿宋_GB2312" w:hAnsi="Times New Roman" w:cs="Times New Roman" w:hint="eastAsia"/>
          <w:sz w:val="32"/>
        </w:rPr>
        <w:t>列出</w:t>
      </w:r>
      <w:r>
        <w:rPr>
          <w:rFonts w:ascii="Times New Roman" w:eastAsia="仿宋_GB2312" w:hAnsi="Times New Roman" w:cs="Times New Roman"/>
          <w:sz w:val="32"/>
        </w:rPr>
        <w:t>每个建设地点的建设内容及规模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/>
          <w:sz w:val="32"/>
        </w:rPr>
        <w:t>包括充电主机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充电</w:t>
      </w:r>
      <w:r>
        <w:rPr>
          <w:rFonts w:ascii="Times New Roman" w:eastAsia="仿宋_GB2312" w:hAnsi="Times New Roman" w:cs="Times New Roman" w:hint="eastAsia"/>
          <w:sz w:val="32"/>
        </w:rPr>
        <w:t>终端</w:t>
      </w:r>
      <w:r>
        <w:rPr>
          <w:rFonts w:ascii="Times New Roman" w:eastAsia="仿宋_GB2312" w:hAnsi="Times New Roman" w:cs="Times New Roman"/>
          <w:sz w:val="32"/>
        </w:rPr>
        <w:t>及充电枪数量</w:t>
      </w:r>
      <w:r>
        <w:rPr>
          <w:rFonts w:ascii="Times New Roman" w:eastAsia="仿宋_GB2312" w:hAnsi="Times New Roman" w:cs="Times New Roman" w:hint="eastAsia"/>
          <w:sz w:val="32"/>
        </w:rPr>
        <w:t>）、充电设备功率类型及技术参数（包括</w:t>
      </w:r>
      <w:r>
        <w:rPr>
          <w:rFonts w:ascii="Times New Roman" w:eastAsia="仿宋_GB2312" w:hAnsi="Times New Roman" w:cs="Times New Roman"/>
          <w:sz w:val="32"/>
        </w:rPr>
        <w:t>充电主机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充电</w:t>
      </w:r>
      <w:r>
        <w:rPr>
          <w:rFonts w:ascii="Times New Roman" w:eastAsia="仿宋_GB2312" w:hAnsi="Times New Roman" w:cs="Times New Roman" w:hint="eastAsia"/>
          <w:sz w:val="32"/>
        </w:rPr>
        <w:t>终端</w:t>
      </w:r>
      <w:r>
        <w:rPr>
          <w:rFonts w:ascii="Times New Roman" w:eastAsia="仿宋_GB2312" w:hAnsi="Times New Roman" w:cs="Times New Roman"/>
          <w:sz w:val="32"/>
        </w:rPr>
        <w:t>的</w:t>
      </w:r>
      <w:r>
        <w:rPr>
          <w:rFonts w:ascii="Times New Roman" w:eastAsia="仿宋_GB2312" w:hAnsi="Times New Roman" w:cs="Times New Roman" w:hint="eastAsia"/>
          <w:sz w:val="32"/>
        </w:rPr>
        <w:t>输出</w:t>
      </w:r>
      <w:r>
        <w:rPr>
          <w:rFonts w:ascii="Times New Roman" w:eastAsia="仿宋_GB2312" w:hAnsi="Times New Roman" w:cs="Times New Roman"/>
          <w:sz w:val="32"/>
        </w:rPr>
        <w:t>功率、</w:t>
      </w:r>
      <w:r>
        <w:rPr>
          <w:rFonts w:ascii="Times New Roman" w:eastAsia="仿宋_GB2312" w:hAnsi="Times New Roman" w:cs="Times New Roman" w:hint="eastAsia"/>
          <w:sz w:val="32"/>
        </w:rPr>
        <w:t>输出</w:t>
      </w:r>
      <w:r>
        <w:rPr>
          <w:rFonts w:ascii="Times New Roman" w:eastAsia="仿宋_GB2312" w:hAnsi="Times New Roman" w:cs="Times New Roman"/>
          <w:sz w:val="32"/>
        </w:rPr>
        <w:t>电压及输出电流</w:t>
      </w:r>
      <w:r>
        <w:rPr>
          <w:rFonts w:ascii="Times New Roman" w:eastAsia="仿宋_GB2312" w:hAnsi="Times New Roman" w:cs="Times New Roman" w:hint="eastAsia"/>
          <w:sz w:val="32"/>
        </w:rPr>
        <w:t>）、充电桩与停车位比、电力</w:t>
      </w:r>
      <w:r>
        <w:rPr>
          <w:rFonts w:ascii="Times New Roman" w:eastAsia="仿宋_GB2312" w:hAnsi="Times New Roman" w:cs="Times New Roman"/>
          <w:sz w:val="32"/>
        </w:rPr>
        <w:t>容量需求、</w:t>
      </w:r>
      <w:r>
        <w:rPr>
          <w:rFonts w:ascii="Times New Roman" w:eastAsia="仿宋_GB2312" w:hAnsi="Times New Roman" w:cs="Times New Roman" w:hint="eastAsia"/>
          <w:sz w:val="32"/>
        </w:rPr>
        <w:t>项目总投资及分项投资、项目</w:t>
      </w:r>
      <w:r>
        <w:rPr>
          <w:rFonts w:ascii="Times New Roman" w:eastAsia="仿宋_GB2312" w:hAnsi="Times New Roman" w:cs="Times New Roman"/>
          <w:sz w:val="32"/>
        </w:rPr>
        <w:t>建设周期及</w:t>
      </w:r>
      <w:r>
        <w:rPr>
          <w:rFonts w:ascii="Times New Roman" w:eastAsia="仿宋_GB2312" w:hAnsi="Times New Roman" w:cs="Times New Roman" w:hint="eastAsia"/>
          <w:sz w:val="32"/>
        </w:rPr>
        <w:t>拟投运时间等。</w:t>
      </w:r>
    </w:p>
    <w:p w14:paraId="74C7F114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三、项目前期手续办理情况</w:t>
      </w:r>
    </w:p>
    <w:p w14:paraId="357890D1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包括项目</w:t>
      </w:r>
      <w:r>
        <w:rPr>
          <w:rFonts w:ascii="Times New Roman" w:eastAsia="仿宋_GB2312" w:hAnsi="Times New Roman" w:cs="Times New Roman"/>
          <w:sz w:val="32"/>
        </w:rPr>
        <w:t>建设取得</w:t>
      </w:r>
      <w:r>
        <w:rPr>
          <w:rFonts w:ascii="Times New Roman" w:eastAsia="仿宋_GB2312" w:hAnsi="Times New Roman" w:cs="Times New Roman" w:hint="eastAsia"/>
          <w:sz w:val="32"/>
        </w:rPr>
        <w:t>区发展改革委</w:t>
      </w:r>
      <w:r>
        <w:rPr>
          <w:rFonts w:ascii="Times New Roman" w:eastAsia="仿宋_GB2312" w:hAnsi="Times New Roman" w:cs="Times New Roman"/>
          <w:sz w:val="32"/>
        </w:rPr>
        <w:t>备案</w:t>
      </w:r>
      <w:r>
        <w:rPr>
          <w:rFonts w:ascii="Times New Roman" w:eastAsia="仿宋_GB2312" w:hAnsi="Times New Roman" w:cs="Times New Roman" w:hint="eastAsia"/>
          <w:sz w:val="32"/>
        </w:rPr>
        <w:t>情况、与项目</w:t>
      </w:r>
      <w:r>
        <w:rPr>
          <w:rFonts w:ascii="Times New Roman" w:eastAsia="仿宋_GB2312" w:hAnsi="Times New Roman" w:cs="Times New Roman"/>
          <w:sz w:val="32"/>
        </w:rPr>
        <w:t>所在</w:t>
      </w:r>
      <w:r>
        <w:rPr>
          <w:rFonts w:ascii="Times New Roman" w:eastAsia="仿宋_GB2312" w:hAnsi="Times New Roman" w:cs="Times New Roman" w:hint="eastAsia"/>
          <w:sz w:val="32"/>
        </w:rPr>
        <w:t>地</w:t>
      </w:r>
      <w:r>
        <w:rPr>
          <w:rFonts w:ascii="Times New Roman" w:eastAsia="仿宋_GB2312" w:hAnsi="Times New Roman" w:cs="Times New Roman"/>
          <w:sz w:val="32"/>
        </w:rPr>
        <w:t>权属方协议签订情况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。</w:t>
      </w:r>
    </w:p>
    <w:p w14:paraId="6D5861D6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四、申请投资支持的主要理由和政策依据</w:t>
      </w:r>
    </w:p>
    <w:p w14:paraId="72AE4C9E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lastRenderedPageBreak/>
        <w:t>包括国家和地方有关支持性规划、产业政策和行业准入条件、主要标准规范以及其他依据，行业</w:t>
      </w:r>
      <w:r>
        <w:rPr>
          <w:rFonts w:ascii="Times New Roman" w:eastAsia="仿宋_GB2312" w:hAnsi="Times New Roman" w:cs="Times New Roman"/>
          <w:sz w:val="32"/>
        </w:rPr>
        <w:t>发展现状，本项目建设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拟采用新技术新设备的国内现状、发展趋势等。</w:t>
      </w:r>
    </w:p>
    <w:p w14:paraId="23BE4F99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五、项目建设方案</w:t>
      </w:r>
    </w:p>
    <w:p w14:paraId="57006058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包括项目建设必要性、选址（区位条件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电力设施</w:t>
      </w:r>
      <w:r>
        <w:rPr>
          <w:rFonts w:ascii="Times New Roman" w:eastAsia="仿宋_GB2312" w:hAnsi="Times New Roman" w:cs="Times New Roman"/>
          <w:sz w:val="32"/>
        </w:rPr>
        <w:t>供应</w:t>
      </w:r>
      <w:r>
        <w:rPr>
          <w:rFonts w:ascii="Times New Roman" w:eastAsia="仿宋_GB2312" w:hAnsi="Times New Roman" w:cs="Times New Roman" w:hint="eastAsia"/>
          <w:sz w:val="32"/>
        </w:rPr>
        <w:t>条件）、建设规模、建设内容和工程方案等。</w:t>
      </w:r>
    </w:p>
    <w:p w14:paraId="447CFFE9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（一）技术方案</w:t>
      </w:r>
    </w:p>
    <w:p w14:paraId="0A7275B9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包括</w:t>
      </w:r>
      <w:r>
        <w:rPr>
          <w:rFonts w:ascii="Times New Roman" w:eastAsia="仿宋_GB2312" w:hAnsi="Times New Roman" w:cs="Times New Roman"/>
          <w:sz w:val="32"/>
        </w:rPr>
        <w:t>设计依据、</w:t>
      </w:r>
      <w:r>
        <w:rPr>
          <w:rFonts w:ascii="Times New Roman" w:eastAsia="仿宋_GB2312" w:hAnsi="Times New Roman" w:cs="Times New Roman" w:hint="eastAsia"/>
          <w:sz w:val="32"/>
        </w:rPr>
        <w:t>总体</w:t>
      </w:r>
      <w:r>
        <w:rPr>
          <w:rFonts w:ascii="Times New Roman" w:eastAsia="仿宋_GB2312" w:hAnsi="Times New Roman" w:cs="Times New Roman"/>
          <w:sz w:val="32"/>
        </w:rPr>
        <w:t>布局</w:t>
      </w:r>
      <w:r>
        <w:rPr>
          <w:rFonts w:ascii="Times New Roman" w:eastAsia="仿宋_GB2312" w:hAnsi="Times New Roman" w:cs="Times New Roman" w:hint="eastAsia"/>
          <w:sz w:val="32"/>
        </w:rPr>
        <w:t>、负荷估算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消防及安全设计等，</w:t>
      </w:r>
      <w:r>
        <w:rPr>
          <w:rFonts w:ascii="Times New Roman" w:eastAsia="仿宋_GB2312" w:hAnsi="Times New Roman" w:cs="Times New Roman"/>
          <w:sz w:val="32"/>
        </w:rPr>
        <w:t>采用的先进技术情况（</w:t>
      </w:r>
      <w:r>
        <w:rPr>
          <w:rFonts w:ascii="Times New Roman" w:eastAsia="仿宋_GB2312" w:hAnsi="Times New Roman" w:cs="Times New Roman" w:hint="eastAsia"/>
          <w:sz w:val="32"/>
        </w:rPr>
        <w:t>例如</w:t>
      </w:r>
      <w:r>
        <w:rPr>
          <w:rFonts w:ascii="Times New Roman" w:eastAsia="仿宋_GB2312" w:hAnsi="Times New Roman" w:cs="Times New Roman"/>
          <w:sz w:val="32"/>
        </w:rPr>
        <w:t>光伏、储能、</w:t>
      </w:r>
      <w:r>
        <w:rPr>
          <w:rFonts w:ascii="Times New Roman" w:eastAsia="仿宋_GB2312" w:hAnsi="Times New Roman" w:cs="Times New Roman" w:hint="eastAsia"/>
          <w:sz w:val="32"/>
        </w:rPr>
        <w:t>电池</w:t>
      </w:r>
      <w:r>
        <w:rPr>
          <w:rFonts w:ascii="Times New Roman" w:eastAsia="仿宋_GB2312" w:hAnsi="Times New Roman" w:cs="Times New Roman"/>
          <w:sz w:val="32"/>
        </w:rPr>
        <w:t>安全</w:t>
      </w:r>
      <w:r>
        <w:rPr>
          <w:rFonts w:ascii="Times New Roman" w:eastAsia="仿宋_GB2312" w:hAnsi="Times New Roman" w:cs="Times New Roman" w:hint="eastAsia"/>
          <w:sz w:val="32"/>
        </w:rPr>
        <w:t>检测</w:t>
      </w:r>
      <w:r>
        <w:rPr>
          <w:rFonts w:ascii="Times New Roman" w:eastAsia="仿宋_GB2312" w:hAnsi="Times New Roman" w:cs="Times New Roman"/>
          <w:sz w:val="32"/>
        </w:rPr>
        <w:t>等技术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/>
          <w:sz w:val="32"/>
        </w:rPr>
        <w:t>请逐项详细</w:t>
      </w:r>
      <w:r>
        <w:rPr>
          <w:rFonts w:ascii="Times New Roman" w:eastAsia="仿宋_GB2312" w:hAnsi="Times New Roman" w:cs="Times New Roman" w:hint="eastAsia"/>
          <w:sz w:val="32"/>
        </w:rPr>
        <w:t>说明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14:paraId="641AF925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（二）设备方案</w:t>
      </w:r>
    </w:p>
    <w:p w14:paraId="79D4F075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包括所需主要设备的规格、数量、性能参数、来源和价格，论述设备与技术的匹配性和可靠性、设备对工程方案的设计技术需求，提出关键设备和软件推荐方案及自主知识产权情况。</w:t>
      </w:r>
    </w:p>
    <w:p w14:paraId="7919A78B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六、项目投资概算</w:t>
      </w:r>
    </w:p>
    <w:p w14:paraId="683D8730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包括工程量表和投资估算表等，</w:t>
      </w:r>
      <w:r>
        <w:rPr>
          <w:rFonts w:ascii="Times New Roman" w:eastAsia="仿宋_GB2312" w:hAnsi="Times New Roman" w:cs="Times New Roman" w:hint="eastAsia"/>
          <w:sz w:val="32"/>
        </w:rPr>
        <w:t>对项目建设和生产运营所需投入的全部资金即项目总投资进行估算，包括建设投资、建设期融资费用和流动资金，说明投资估算编制依据和编制范围。</w:t>
      </w:r>
    </w:p>
    <w:p w14:paraId="1B783AD8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七、项目资金筹措方案</w:t>
      </w:r>
    </w:p>
    <w:p w14:paraId="6E76345A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说明项目资本金来源和结构、拟申请市政府固定资产投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资情况，研究采用权益型金融工具、专项债、公司信用类债券等融资方式的可行性。其他附件以及资金到位情况。</w:t>
      </w:r>
    </w:p>
    <w:p w14:paraId="47C35043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八、安全保障方案</w:t>
      </w:r>
    </w:p>
    <w:p w14:paraId="2AEB0603" w14:textId="77777777" w:rsidR="00372D37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明确安全生产责任制，建立安全管理体系，提出劳动安全与卫生防范措施，以及项目可能涉及的数据安全、网络安全、供应链安全的责任制度或措施方案，并制定项目安全应急管理预案。</w:t>
      </w:r>
    </w:p>
    <w:p w14:paraId="15527B9B" w14:textId="77777777" w:rsidR="00372D37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九、绩效管理方案</w:t>
      </w:r>
    </w:p>
    <w:p w14:paraId="185CACF9" w14:textId="77777777" w:rsidR="00372D37" w:rsidRDefault="00000000">
      <w:pPr>
        <w:spacing w:line="56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</w:rPr>
        <w:t>按照实施方案绩效指标要求，研究制定项目绩效考核指标，明确保障措施及相关绩效管理机制，</w:t>
      </w:r>
      <w:r>
        <w:rPr>
          <w:rFonts w:ascii="Times New Roman" w:eastAsia="仿宋_GB2312" w:hAnsi="Times New Roman" w:cs="Times New Roman"/>
          <w:sz w:val="32"/>
        </w:rPr>
        <w:t>包括加强维护管理，</w:t>
      </w:r>
      <w:r>
        <w:rPr>
          <w:rFonts w:ascii="Times New Roman" w:eastAsia="仿宋_GB2312" w:hAnsi="Times New Roman" w:cs="Times New Roman" w:hint="eastAsia"/>
          <w:sz w:val="32"/>
        </w:rPr>
        <w:t>提升</w:t>
      </w:r>
      <w:r>
        <w:rPr>
          <w:rFonts w:ascii="Times New Roman" w:eastAsia="仿宋_GB2312" w:hAnsi="Times New Roman" w:cs="Times New Roman"/>
          <w:sz w:val="32"/>
        </w:rPr>
        <w:t>平均利用率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降低故障率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/>
          <w:sz w:val="32"/>
        </w:rPr>
        <w:t>提升信息准确率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/>
          <w:sz w:val="32"/>
        </w:rPr>
        <w:t>提升站点充电桩服务水平等方案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sectPr w:rsidR="00372D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BCB6" w14:textId="77777777" w:rsidR="00CE261A" w:rsidRDefault="00CE261A"/>
  </w:endnote>
  <w:endnote w:type="continuationSeparator" w:id="0">
    <w:p w14:paraId="66D3E61F" w14:textId="77777777" w:rsidR="00CE261A" w:rsidRDefault="00CE2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73EF" w14:textId="77777777" w:rsidR="00372D37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4D468" wp14:editId="57754A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193B1" w14:textId="77777777" w:rsidR="00372D37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4D46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B193B1" w14:textId="77777777" w:rsidR="00372D37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925C5" w14:textId="77777777" w:rsidR="00CE261A" w:rsidRDefault="00CE261A"/>
  </w:footnote>
  <w:footnote w:type="continuationSeparator" w:id="0">
    <w:p w14:paraId="789EADE1" w14:textId="77777777" w:rsidR="00CE261A" w:rsidRDefault="00CE26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yOGRlOWZhZmUxNmRhY2M5OTY4ZTFjNzg0ZjgzZWMifQ=="/>
  </w:docVars>
  <w:rsids>
    <w:rsidRoot w:val="007615D2"/>
    <w:rsid w:val="FDD58940"/>
    <w:rsid w:val="000053AF"/>
    <w:rsid w:val="0002463A"/>
    <w:rsid w:val="000272F1"/>
    <w:rsid w:val="0002742B"/>
    <w:rsid w:val="000626D1"/>
    <w:rsid w:val="0006363B"/>
    <w:rsid w:val="00073640"/>
    <w:rsid w:val="00087BFA"/>
    <w:rsid w:val="00091BB0"/>
    <w:rsid w:val="000A48EE"/>
    <w:rsid w:val="000A56BD"/>
    <w:rsid w:val="000B06DC"/>
    <w:rsid w:val="000C53DA"/>
    <w:rsid w:val="000E781E"/>
    <w:rsid w:val="000F68BC"/>
    <w:rsid w:val="00103311"/>
    <w:rsid w:val="00126383"/>
    <w:rsid w:val="001315F6"/>
    <w:rsid w:val="001616BD"/>
    <w:rsid w:val="00163ACF"/>
    <w:rsid w:val="001B151A"/>
    <w:rsid w:val="001C642F"/>
    <w:rsid w:val="001D6322"/>
    <w:rsid w:val="00200A9E"/>
    <w:rsid w:val="00210FF8"/>
    <w:rsid w:val="00216BC0"/>
    <w:rsid w:val="00243CB6"/>
    <w:rsid w:val="00254885"/>
    <w:rsid w:val="002761D7"/>
    <w:rsid w:val="00285FDD"/>
    <w:rsid w:val="0029689A"/>
    <w:rsid w:val="002A4425"/>
    <w:rsid w:val="002C26E2"/>
    <w:rsid w:val="002D79AF"/>
    <w:rsid w:val="002E7338"/>
    <w:rsid w:val="002F3D57"/>
    <w:rsid w:val="0030378A"/>
    <w:rsid w:val="00372D37"/>
    <w:rsid w:val="003836C7"/>
    <w:rsid w:val="00386105"/>
    <w:rsid w:val="003B4D9E"/>
    <w:rsid w:val="0042731A"/>
    <w:rsid w:val="00432AC2"/>
    <w:rsid w:val="004628E6"/>
    <w:rsid w:val="00480892"/>
    <w:rsid w:val="004853B9"/>
    <w:rsid w:val="00485670"/>
    <w:rsid w:val="004A0327"/>
    <w:rsid w:val="004B0B76"/>
    <w:rsid w:val="004B771F"/>
    <w:rsid w:val="004C68BA"/>
    <w:rsid w:val="004D78A9"/>
    <w:rsid w:val="004F6AAB"/>
    <w:rsid w:val="00513E06"/>
    <w:rsid w:val="00564111"/>
    <w:rsid w:val="00564E4E"/>
    <w:rsid w:val="005667E7"/>
    <w:rsid w:val="0058236D"/>
    <w:rsid w:val="00595987"/>
    <w:rsid w:val="005A2ADC"/>
    <w:rsid w:val="005E049B"/>
    <w:rsid w:val="00605350"/>
    <w:rsid w:val="006063C0"/>
    <w:rsid w:val="00623290"/>
    <w:rsid w:val="006237BF"/>
    <w:rsid w:val="0064335E"/>
    <w:rsid w:val="006676AD"/>
    <w:rsid w:val="00674190"/>
    <w:rsid w:val="00690B49"/>
    <w:rsid w:val="006956A0"/>
    <w:rsid w:val="006C3A0C"/>
    <w:rsid w:val="006C7274"/>
    <w:rsid w:val="00702984"/>
    <w:rsid w:val="0073133E"/>
    <w:rsid w:val="00743138"/>
    <w:rsid w:val="00751DE6"/>
    <w:rsid w:val="007615D2"/>
    <w:rsid w:val="0076517E"/>
    <w:rsid w:val="0079082D"/>
    <w:rsid w:val="007B1BD3"/>
    <w:rsid w:val="007B2BAB"/>
    <w:rsid w:val="007C50FD"/>
    <w:rsid w:val="007D621C"/>
    <w:rsid w:val="00802786"/>
    <w:rsid w:val="0080293A"/>
    <w:rsid w:val="00832A17"/>
    <w:rsid w:val="008468E0"/>
    <w:rsid w:val="008548CC"/>
    <w:rsid w:val="00870FF2"/>
    <w:rsid w:val="008826D8"/>
    <w:rsid w:val="0089040D"/>
    <w:rsid w:val="00893CA2"/>
    <w:rsid w:val="00896113"/>
    <w:rsid w:val="00897873"/>
    <w:rsid w:val="008B43B3"/>
    <w:rsid w:val="008D7D8F"/>
    <w:rsid w:val="008E2FA9"/>
    <w:rsid w:val="00904415"/>
    <w:rsid w:val="009523AE"/>
    <w:rsid w:val="00972CD2"/>
    <w:rsid w:val="0097388C"/>
    <w:rsid w:val="00974576"/>
    <w:rsid w:val="00980CD0"/>
    <w:rsid w:val="00984CD4"/>
    <w:rsid w:val="009856A4"/>
    <w:rsid w:val="009A2D6B"/>
    <w:rsid w:val="009A743E"/>
    <w:rsid w:val="009D217E"/>
    <w:rsid w:val="00A30729"/>
    <w:rsid w:val="00A34C49"/>
    <w:rsid w:val="00A43F88"/>
    <w:rsid w:val="00A60FBE"/>
    <w:rsid w:val="00A71148"/>
    <w:rsid w:val="00A75D59"/>
    <w:rsid w:val="00A81B46"/>
    <w:rsid w:val="00A8511A"/>
    <w:rsid w:val="00AA56C4"/>
    <w:rsid w:val="00AB02DD"/>
    <w:rsid w:val="00AB70DE"/>
    <w:rsid w:val="00AC4571"/>
    <w:rsid w:val="00AF27C1"/>
    <w:rsid w:val="00AF2A06"/>
    <w:rsid w:val="00B37D36"/>
    <w:rsid w:val="00B46AE4"/>
    <w:rsid w:val="00B52062"/>
    <w:rsid w:val="00B7136D"/>
    <w:rsid w:val="00B81F93"/>
    <w:rsid w:val="00B94CA6"/>
    <w:rsid w:val="00BA1A58"/>
    <w:rsid w:val="00BA5560"/>
    <w:rsid w:val="00BB686A"/>
    <w:rsid w:val="00BD08AD"/>
    <w:rsid w:val="00C1588B"/>
    <w:rsid w:val="00C15B47"/>
    <w:rsid w:val="00C312CC"/>
    <w:rsid w:val="00C70B2F"/>
    <w:rsid w:val="00C90F0C"/>
    <w:rsid w:val="00CB3215"/>
    <w:rsid w:val="00CD0582"/>
    <w:rsid w:val="00CD18D0"/>
    <w:rsid w:val="00CE261A"/>
    <w:rsid w:val="00CE5866"/>
    <w:rsid w:val="00D2748A"/>
    <w:rsid w:val="00D44A34"/>
    <w:rsid w:val="00D84E17"/>
    <w:rsid w:val="00D8682C"/>
    <w:rsid w:val="00D874C7"/>
    <w:rsid w:val="00DA69FF"/>
    <w:rsid w:val="00DB2DBD"/>
    <w:rsid w:val="00DB755D"/>
    <w:rsid w:val="00DE76AA"/>
    <w:rsid w:val="00DF6D25"/>
    <w:rsid w:val="00DF728E"/>
    <w:rsid w:val="00E001E7"/>
    <w:rsid w:val="00E27113"/>
    <w:rsid w:val="00E80C40"/>
    <w:rsid w:val="00E9365D"/>
    <w:rsid w:val="00E9505F"/>
    <w:rsid w:val="00EA2F1B"/>
    <w:rsid w:val="00EC00EC"/>
    <w:rsid w:val="00ED257E"/>
    <w:rsid w:val="00ED2981"/>
    <w:rsid w:val="00ED427D"/>
    <w:rsid w:val="00EF17CB"/>
    <w:rsid w:val="00EF72D3"/>
    <w:rsid w:val="00F01889"/>
    <w:rsid w:val="00F055CA"/>
    <w:rsid w:val="00F21124"/>
    <w:rsid w:val="00F32296"/>
    <w:rsid w:val="00F36968"/>
    <w:rsid w:val="00F82B9B"/>
    <w:rsid w:val="00F95E00"/>
    <w:rsid w:val="00FC2690"/>
    <w:rsid w:val="00FD5EB0"/>
    <w:rsid w:val="00FE7CE0"/>
    <w:rsid w:val="077A11E5"/>
    <w:rsid w:val="1351749E"/>
    <w:rsid w:val="1737A9C3"/>
    <w:rsid w:val="1D9342D1"/>
    <w:rsid w:val="3EAD54EB"/>
    <w:rsid w:val="5EE34F38"/>
    <w:rsid w:val="692643A7"/>
    <w:rsid w:val="698C045C"/>
    <w:rsid w:val="6FC108D5"/>
    <w:rsid w:val="73FFB267"/>
    <w:rsid w:val="74887D51"/>
    <w:rsid w:val="7F7DE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389D1"/>
  <w15:docId w15:val="{E39781BB-3956-446B-9746-1539788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Hyperlink"/>
    <w:basedOn w:val="a1"/>
    <w:qFormat/>
    <w:rPr>
      <w:color w:val="0563C1" w:themeColor="hyperlink"/>
      <w:u w:val="single"/>
    </w:r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513</Characters>
  <Application>Microsoft Office Word</Application>
  <DocSecurity>0</DocSecurity>
  <Lines>28</Lines>
  <Paragraphs>25</Paragraphs>
  <ScaleCrop>false</ScaleCrop>
  <Company>Lenovo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2025-04-09T03:34:00Z</cp:lastPrinted>
  <dcterms:created xsi:type="dcterms:W3CDTF">2025-07-21T07:05:00Z</dcterms:created>
  <dcterms:modified xsi:type="dcterms:W3CDTF">2025-07-21T07:05:00Z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758F2F97D15747D28E8C54CCD9FFFE9A_13</vt:lpwstr>
  </property>
  <property fmtid="{D5CDD505-2E9C-101B-9397-08002B2CF9AE}" pid="4" name="KSOTemplateDocerSaveRecord">
    <vt:lpwstr>eyJoZGlkIjoiYjZiMjMyMjQ4YWE2NzU1NmQ4YzlkYzFkMGI3OGQzMDkiLCJ1c2VySWQiOiI1NjYxMjM2ODEifQ==</vt:lpwstr>
  </property>
</Properties>
</file>