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both"/>
        <w:rPr>
          <w:rFonts w:hint="eastAsia" w:ascii="黑体" w:hAnsi="黑体" w:eastAsia="黑体" w:cs="黑体"/>
          <w:bCs/>
          <w:snapToGrid w:val="0"/>
          <w:kern w:val="32"/>
          <w:sz w:val="32"/>
          <w:szCs w:val="32"/>
          <w:lang w:val="en-US" w:eastAsia="zh-CN"/>
        </w:rPr>
      </w:pPr>
      <w:r>
        <w:rPr>
          <w:rFonts w:hint="eastAsia" w:ascii="黑体" w:hAnsi="黑体" w:eastAsia="黑体" w:cs="黑体"/>
          <w:bCs/>
          <w:snapToGrid w:val="0"/>
          <w:kern w:val="32"/>
          <w:sz w:val="32"/>
          <w:szCs w:val="32"/>
          <w:lang w:val="en-US" w:eastAsia="zh-CN"/>
        </w:rPr>
        <w:t>附件1</w:t>
      </w:r>
    </w:p>
    <w:p>
      <w:pPr>
        <w:spacing w:line="240" w:lineRule="auto"/>
        <w:ind w:firstLine="0" w:firstLineChars="0"/>
        <w:jc w:val="left"/>
        <w:rPr>
          <w:rFonts w:hint="eastAsia" w:asciiTheme="minorHAnsi" w:hAnsiTheme="minorHAnsi" w:eastAsiaTheme="minorEastAsia" w:cstheme="minorBidi"/>
          <w:bCs w:val="0"/>
          <w:snapToGrid/>
          <w:kern w:val="2"/>
          <w:sz w:val="21"/>
          <w:szCs w:val="24"/>
          <w:lang w:val="en-US" w:eastAsia="zh-CN"/>
        </w:rPr>
      </w:pPr>
    </w:p>
    <w:p>
      <w:pPr>
        <w:spacing w:line="560" w:lineRule="exact"/>
        <w:ind w:firstLine="0" w:firstLineChars="0"/>
        <w:jc w:val="center"/>
        <w:rPr>
          <w:rFonts w:hint="eastAsia" w:ascii="方正小标宋简体" w:hAnsi="黑体" w:eastAsia="方正小标宋简体" w:cs="Times New Roman"/>
          <w:bCs/>
          <w:snapToGrid w:val="0"/>
          <w:kern w:val="32"/>
          <w:sz w:val="36"/>
          <w:szCs w:val="36"/>
        </w:rPr>
      </w:pPr>
      <w:r>
        <w:rPr>
          <w:rFonts w:hint="eastAsia" w:ascii="方正小标宋简体" w:hAnsi="黑体" w:eastAsia="方正小标宋简体" w:cs="Times New Roman"/>
          <w:bCs/>
          <w:snapToGrid w:val="0"/>
          <w:kern w:val="32"/>
          <w:sz w:val="36"/>
          <w:szCs w:val="36"/>
          <w:lang w:val="en-US" w:eastAsia="zh-CN"/>
        </w:rPr>
        <w:t>2023年</w:t>
      </w:r>
      <w:r>
        <w:rPr>
          <w:rFonts w:hint="eastAsia" w:ascii="方正小标宋简体" w:hAnsi="黑体" w:eastAsia="方正小标宋简体" w:cs="Times New Roman"/>
          <w:bCs/>
          <w:snapToGrid w:val="0"/>
          <w:kern w:val="32"/>
          <w:sz w:val="36"/>
          <w:szCs w:val="36"/>
        </w:rPr>
        <w:t>北京市电动汽车充换电设施建设运营奖励</w:t>
      </w:r>
      <w:bookmarkStart w:id="0" w:name="_GoBack"/>
      <w:bookmarkEnd w:id="0"/>
    </w:p>
    <w:p>
      <w:pPr>
        <w:spacing w:line="560" w:lineRule="exact"/>
        <w:ind w:firstLine="0" w:firstLineChars="0"/>
        <w:jc w:val="center"/>
        <w:rPr>
          <w:rFonts w:hint="eastAsia" w:ascii="方正小标宋简体" w:hAnsi="黑体" w:eastAsia="方正小标宋简体" w:cs="Times New Roman"/>
          <w:bCs/>
          <w:snapToGrid w:val="0"/>
          <w:kern w:val="32"/>
          <w:sz w:val="36"/>
          <w:szCs w:val="36"/>
        </w:rPr>
      </w:pPr>
      <w:r>
        <w:rPr>
          <w:rFonts w:hint="eastAsia" w:ascii="方正小标宋简体" w:hAnsi="黑体" w:eastAsia="方正小标宋简体" w:cs="Times New Roman"/>
          <w:bCs/>
          <w:snapToGrid w:val="0"/>
          <w:kern w:val="32"/>
          <w:sz w:val="36"/>
          <w:szCs w:val="36"/>
        </w:rPr>
        <w:t>实施细则</w:t>
      </w:r>
    </w:p>
    <w:p>
      <w:pPr>
        <w:spacing w:line="560" w:lineRule="exact"/>
        <w:jc w:val="center"/>
        <w:rPr>
          <w:rFonts w:hint="eastAsia" w:ascii="方正小标宋简体" w:hAnsi="黑体" w:eastAsia="方正小标宋简体" w:cs="Times New Roman"/>
          <w:bCs/>
          <w:snapToGrid w:val="0"/>
          <w:kern w:val="32"/>
          <w:sz w:val="36"/>
          <w:szCs w:val="36"/>
        </w:rPr>
      </w:pPr>
      <w:r>
        <w:rPr>
          <w:rFonts w:hint="eastAsia" w:ascii="楷体_GB2312" w:hAnsi="楷体_GB2312" w:eastAsia="楷体_GB2312" w:cs="楷体_GB2312"/>
          <w:bCs/>
          <w:snapToGrid w:val="0"/>
          <w:kern w:val="32"/>
          <w:sz w:val="28"/>
          <w:szCs w:val="28"/>
        </w:rPr>
        <w:t>（征求意见稿）</w:t>
      </w:r>
    </w:p>
    <w:p>
      <w:pPr>
        <w:pStyle w:val="2"/>
        <w:jc w:val="left"/>
      </w:pPr>
    </w:p>
    <w:p>
      <w:pPr>
        <w:spacing w:line="560" w:lineRule="exact"/>
        <w:ind w:firstLine="640" w:firstLineChars="200"/>
        <w:rPr>
          <w:rFonts w:hint="eastAsia" w:ascii="仿宋_GB2312" w:hAnsi="宋体" w:eastAsia="仿宋_GB2312" w:cs="宋体"/>
          <w:bCs/>
          <w:snapToGrid w:val="0"/>
          <w:color w:val="000000"/>
          <w:kern w:val="32"/>
          <w:sz w:val="32"/>
          <w:szCs w:val="32"/>
          <w:lang w:eastAsia="zh-CN"/>
        </w:rPr>
      </w:pPr>
      <w:r>
        <w:rPr>
          <w:rFonts w:hint="eastAsia" w:ascii="仿宋_GB2312" w:hAnsi="仿宋_GB2312" w:eastAsia="仿宋_GB2312" w:cs="仿宋_GB2312"/>
          <w:sz w:val="32"/>
          <w:szCs w:val="32"/>
        </w:rPr>
        <w:t>为贯彻落实国务院办公厅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关于进一步构建高质量充电基础设施体系的指导意见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、国家发展改革委等部门《关于进一步提升电动汽车充电基础设施服务保障能力的实施意见》以及《北京市碳达峰实施方案》《“十四五”时期北京市新能源汽车充换电设施发展规划》</w:t>
      </w:r>
      <w:r>
        <w:rPr>
          <w:rFonts w:hint="eastAsia" w:ascii="仿宋_GB2312" w:hAnsi="仿宋_GB2312" w:eastAsia="仿宋_GB2312" w:cs="仿宋_GB2312"/>
          <w:sz w:val="32"/>
          <w:szCs w:val="32"/>
          <w:lang w:eastAsia="zh-CN"/>
        </w:rPr>
        <w:t>等</w:t>
      </w:r>
      <w:r>
        <w:rPr>
          <w:rFonts w:hint="eastAsia" w:ascii="仿宋_GB2312" w:hAnsi="宋体" w:eastAsia="仿宋_GB2312" w:cs="宋体"/>
          <w:bCs/>
          <w:snapToGrid w:val="0"/>
          <w:color w:val="000000"/>
          <w:kern w:val="32"/>
          <w:sz w:val="32"/>
          <w:szCs w:val="32"/>
        </w:rPr>
        <w:t>有关要求，</w:t>
      </w:r>
      <w:r>
        <w:rPr>
          <w:rFonts w:hint="eastAsia" w:ascii="仿宋_GB2312" w:hAnsi="仿宋_GB2312" w:eastAsia="仿宋_GB2312" w:cs="仿宋_GB2312"/>
          <w:sz w:val="32"/>
          <w:szCs w:val="32"/>
        </w:rPr>
        <w:t>推动新能源汽车充电服务水平提升，开展2023年度电动汽车充换电设施建设运营</w:t>
      </w:r>
      <w:r>
        <w:rPr>
          <w:rFonts w:hint="eastAsia" w:ascii="仿宋_GB2312" w:hAnsi="仿宋_GB2312" w:eastAsia="仿宋_GB2312" w:cs="仿宋_GB2312"/>
          <w:sz w:val="32"/>
          <w:szCs w:val="32"/>
          <w:lang w:val="en-US" w:eastAsia="zh-CN"/>
        </w:rPr>
        <w:t>奖励</w:t>
      </w:r>
      <w:r>
        <w:rPr>
          <w:rFonts w:hint="eastAsia" w:ascii="仿宋_GB2312" w:hAnsi="仿宋_GB2312" w:eastAsia="仿宋_GB2312" w:cs="仿宋_GB2312"/>
          <w:sz w:val="32"/>
          <w:szCs w:val="32"/>
        </w:rPr>
        <w:t>工作</w:t>
      </w:r>
      <w:r>
        <w:rPr>
          <w:rFonts w:hint="eastAsia"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lang w:val="en-US" w:eastAsia="zh-CN"/>
        </w:rPr>
        <w:t>特制定该细则</w:t>
      </w:r>
      <w:r>
        <w:rPr>
          <w:rFonts w:hint="eastAsia" w:ascii="仿宋_GB2312" w:hAnsi="宋体" w:eastAsia="仿宋_GB2312" w:cs="宋体"/>
          <w:bCs/>
          <w:snapToGrid w:val="0"/>
          <w:color w:val="000000"/>
          <w:kern w:val="32"/>
          <w:sz w:val="32"/>
          <w:szCs w:val="32"/>
          <w:lang w:eastAsia="zh-CN"/>
        </w:rPr>
        <w:t>。</w:t>
      </w:r>
    </w:p>
    <w:p>
      <w:pPr>
        <w:keepNext/>
        <w:keepLines/>
        <w:spacing w:line="560" w:lineRule="exact"/>
        <w:ind w:firstLine="640" w:firstLineChars="200"/>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一、</w:t>
      </w:r>
      <w:r>
        <w:rPr>
          <w:rFonts w:hint="eastAsia" w:ascii="黑体" w:hAnsi="黑体" w:eastAsia="黑体" w:cs="黑体"/>
          <w:bCs/>
          <w:snapToGrid w:val="0"/>
          <w:kern w:val="44"/>
          <w:sz w:val="32"/>
          <w:szCs w:val="32"/>
          <w:lang w:val="en-US" w:eastAsia="zh-CN"/>
        </w:rPr>
        <w:t>奖励</w:t>
      </w:r>
      <w:r>
        <w:rPr>
          <w:rFonts w:hint="eastAsia" w:ascii="黑体" w:hAnsi="黑体" w:eastAsia="黑体" w:cs="黑体"/>
          <w:bCs/>
          <w:snapToGrid w:val="0"/>
          <w:kern w:val="44"/>
          <w:sz w:val="32"/>
          <w:szCs w:val="32"/>
        </w:rPr>
        <w:t>对象、方式及标准</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仿宋_GB2312" w:eastAsia="仿宋_GB2312" w:cs="仿宋_GB2312"/>
          <w:bCs/>
          <w:snapToGrid w:val="0"/>
          <w:color w:val="000000"/>
          <w:kern w:val="32"/>
          <w:sz w:val="32"/>
          <w:szCs w:val="32"/>
        </w:rPr>
        <w:t>（一）对2022年6月1日-2023年7月31日建成的</w:t>
      </w:r>
      <w:r>
        <w:rPr>
          <w:rFonts w:hint="eastAsia" w:ascii="仿宋_GB2312" w:hAnsi="宋体" w:eastAsia="仿宋_GB2312" w:cs="宋体"/>
          <w:bCs/>
          <w:snapToGrid w:val="0"/>
          <w:color w:val="000000"/>
          <w:kern w:val="32"/>
          <w:sz w:val="32"/>
          <w:szCs w:val="32"/>
        </w:rPr>
        <w:t>单位内部充电设施给予建设奖励；对外开放的，另行给予开放奖励。</w:t>
      </w:r>
    </w:p>
    <w:p>
      <w:pPr>
        <w:spacing w:line="560" w:lineRule="exact"/>
        <w:ind w:firstLine="640" w:firstLineChars="200"/>
        <w:rPr>
          <w:rFonts w:ascii="仿宋_GB2312" w:hAnsi="仿宋_GB2312" w:eastAsia="仿宋_GB2312" w:cs="仿宋_GB2312"/>
          <w:bCs/>
          <w:snapToGrid w:val="0"/>
          <w:color w:val="000000"/>
          <w:kern w:val="32"/>
          <w:sz w:val="32"/>
          <w:szCs w:val="32"/>
        </w:rPr>
      </w:pPr>
      <w:r>
        <w:rPr>
          <w:rFonts w:hint="eastAsia" w:ascii="仿宋_GB2312" w:hAnsi="仿宋_GB2312" w:eastAsia="仿宋_GB2312" w:cs="仿宋_GB2312"/>
          <w:bCs/>
          <w:snapToGrid w:val="0"/>
          <w:color w:val="000000"/>
          <w:kern w:val="32"/>
          <w:sz w:val="32"/>
          <w:szCs w:val="32"/>
          <w:u w:val="none"/>
        </w:rPr>
        <w:t>（二）对</w:t>
      </w:r>
      <w:r>
        <w:rPr>
          <w:rFonts w:ascii="仿宋_GB2312" w:hAnsi="仿宋_GB2312" w:eastAsia="仿宋_GB2312" w:cs="仿宋_GB2312"/>
          <w:bCs/>
          <w:snapToGrid w:val="0"/>
          <w:color w:val="000000"/>
          <w:kern w:val="32"/>
          <w:sz w:val="32"/>
          <w:szCs w:val="32"/>
          <w:highlight w:val="none"/>
          <w:u w:val="none"/>
        </w:rPr>
        <w:t>2022年6月1日-2023年7月31日</w:t>
      </w:r>
      <w:r>
        <w:rPr>
          <w:rFonts w:hint="eastAsia" w:ascii="仿宋_GB2312" w:hAnsi="仿宋_GB2312" w:eastAsia="仿宋_GB2312" w:cs="仿宋_GB2312"/>
          <w:bCs/>
          <w:snapToGrid w:val="0"/>
          <w:color w:val="000000"/>
          <w:kern w:val="32"/>
          <w:sz w:val="32"/>
          <w:szCs w:val="32"/>
          <w:highlight w:val="none"/>
          <w:u w:val="none"/>
        </w:rPr>
        <w:t>期间完成“统建统服”试点项目评价，成功入围2</w:t>
      </w:r>
      <w:r>
        <w:rPr>
          <w:rFonts w:ascii="仿宋_GB2312" w:hAnsi="仿宋_GB2312" w:eastAsia="仿宋_GB2312" w:cs="仿宋_GB2312"/>
          <w:bCs/>
          <w:snapToGrid w:val="0"/>
          <w:color w:val="000000"/>
          <w:kern w:val="32"/>
          <w:sz w:val="32"/>
          <w:szCs w:val="32"/>
          <w:highlight w:val="none"/>
          <w:u w:val="none"/>
        </w:rPr>
        <w:t>023</w:t>
      </w:r>
      <w:r>
        <w:rPr>
          <w:rFonts w:hint="eastAsia" w:ascii="仿宋_GB2312" w:hAnsi="仿宋_GB2312" w:eastAsia="仿宋_GB2312" w:cs="仿宋_GB2312"/>
          <w:bCs/>
          <w:snapToGrid w:val="0"/>
          <w:color w:val="000000"/>
          <w:kern w:val="32"/>
          <w:sz w:val="32"/>
          <w:szCs w:val="32"/>
          <w:highlight w:val="none"/>
          <w:u w:val="none"/>
        </w:rPr>
        <w:t>年度</w:t>
      </w:r>
      <w:r>
        <w:rPr>
          <w:rFonts w:hint="eastAsia" w:ascii="仿宋_GB2312" w:eastAsia="仿宋_GB2312"/>
          <w:sz w:val="32"/>
          <w:szCs w:val="36"/>
          <w:highlight w:val="none"/>
          <w:u w:val="none"/>
        </w:rPr>
        <w:t>北京市居住区新能源汽车充电“统建统服”</w:t>
      </w:r>
      <w:r>
        <w:rPr>
          <w:rFonts w:hint="eastAsia" w:ascii="仿宋_GB2312" w:hAnsi="仿宋_GB2312" w:eastAsia="仿宋_GB2312" w:cs="仿宋_GB2312"/>
          <w:bCs/>
          <w:snapToGrid w:val="0"/>
          <w:color w:val="000000"/>
          <w:kern w:val="32"/>
          <w:sz w:val="32"/>
          <w:szCs w:val="32"/>
          <w:highlight w:val="none"/>
          <w:u w:val="none"/>
        </w:rPr>
        <w:t>试点项目，并在后续通过项目建设验收和绩效评价，给予资金奖励。</w:t>
      </w:r>
    </w:p>
    <w:p>
      <w:pPr>
        <w:spacing w:line="560" w:lineRule="exact"/>
        <w:ind w:firstLine="640" w:firstLineChars="200"/>
        <w:rPr>
          <w:rFonts w:ascii="仿宋_GB2312" w:hAnsi="仿宋_GB2312" w:eastAsia="仿宋_GB2312" w:cs="仿宋_GB2312"/>
          <w:bCs/>
          <w:snapToGrid w:val="0"/>
          <w:color w:val="000000"/>
          <w:kern w:val="32"/>
          <w:sz w:val="32"/>
          <w:szCs w:val="32"/>
        </w:rPr>
      </w:pPr>
      <w:r>
        <w:rPr>
          <w:rFonts w:hint="eastAsia" w:ascii="仿宋_GB2312" w:hAnsi="仿宋_GB2312" w:eastAsia="仿宋_GB2312" w:cs="仿宋_GB2312"/>
          <w:bCs/>
          <w:snapToGrid w:val="0"/>
          <w:color w:val="000000"/>
          <w:kern w:val="32"/>
          <w:sz w:val="32"/>
          <w:szCs w:val="32"/>
        </w:rPr>
        <w:t>（三）对2022年6月1日-2023年7月31日期间投入运营，且平均每月每车充电车次不少于10次、充电量不少于</w:t>
      </w:r>
      <w:r>
        <w:rPr>
          <w:rFonts w:hint="eastAsia" w:ascii="仿宋_GB2312" w:hAnsi="仿宋_GB2312" w:eastAsia="仿宋_GB2312" w:cs="仿宋_GB2312"/>
          <w:bCs/>
          <w:snapToGrid w:val="0"/>
          <w:color w:val="000000"/>
          <w:kern w:val="32"/>
          <w:sz w:val="32"/>
          <w:szCs w:val="32"/>
          <w:u w:val="none"/>
        </w:rPr>
        <w:t>150度</w:t>
      </w:r>
      <w:r>
        <w:rPr>
          <w:rFonts w:hint="eastAsia" w:ascii="仿宋_GB2312" w:hAnsi="仿宋_GB2312" w:eastAsia="仿宋_GB2312" w:cs="仿宋_GB2312"/>
          <w:bCs/>
          <w:snapToGrid w:val="0"/>
          <w:color w:val="000000"/>
          <w:kern w:val="32"/>
          <w:sz w:val="32"/>
          <w:szCs w:val="32"/>
        </w:rPr>
        <w:t>的移动充电设施，按月度给予投放奖励。</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napToGrid w:val="0"/>
          <w:color w:val="000000"/>
          <w:kern w:val="32"/>
          <w:sz w:val="32"/>
          <w:szCs w:val="32"/>
        </w:rPr>
        <w:t>（四）对2022</w:t>
      </w:r>
      <w:r>
        <w:rPr>
          <w:rFonts w:hint="eastAsia" w:ascii="仿宋_GB2312" w:hAnsi="仿宋_GB2312" w:eastAsia="仿宋_GB2312" w:cs="仿宋_GB2312"/>
          <w:bCs/>
          <w:snapToGrid w:val="0"/>
          <w:color w:val="000000"/>
          <w:kern w:val="32"/>
          <w:sz w:val="32"/>
          <w:szCs w:val="32"/>
          <w:lang w:eastAsia="zh-Hans"/>
        </w:rPr>
        <w:t>年6月1日-2023年7月31日</w:t>
      </w:r>
      <w:r>
        <w:rPr>
          <w:rFonts w:hint="eastAsia" w:ascii="仿宋_GB2312" w:hAnsi="仿宋_GB2312" w:eastAsia="仿宋_GB2312" w:cs="仿宋_GB2312"/>
          <w:bCs/>
          <w:snapToGrid w:val="0"/>
          <w:color w:val="000000"/>
          <w:kern w:val="32"/>
          <w:sz w:val="32"/>
          <w:szCs w:val="32"/>
        </w:rPr>
        <w:t>期</w:t>
      </w:r>
      <w:r>
        <w:rPr>
          <w:rFonts w:hint="eastAsia" w:ascii="仿宋_GB2312" w:hAnsi="仿宋_GB2312" w:eastAsia="仿宋_GB2312" w:cs="仿宋_GB2312"/>
          <w:bCs/>
          <w:snapToGrid w:val="0"/>
          <w:color w:val="000000"/>
          <w:kern w:val="32"/>
          <w:sz w:val="32"/>
          <w:szCs w:val="32"/>
          <w:lang w:eastAsia="zh-Hans"/>
        </w:rPr>
        <w:t>间</w:t>
      </w:r>
      <w:r>
        <w:rPr>
          <w:rFonts w:hint="eastAsia" w:ascii="仿宋_GB2312" w:hAnsi="仿宋_GB2312" w:eastAsia="仿宋_GB2312" w:cs="仿宋_GB2312"/>
          <w:bCs/>
          <w:snapToGrid w:val="0"/>
          <w:color w:val="000000"/>
          <w:kern w:val="32"/>
          <w:sz w:val="32"/>
          <w:szCs w:val="32"/>
        </w:rPr>
        <w:t>运营的公用充电设施（含居住区和社会公用充电桩）给予运营奖励，</w:t>
      </w:r>
      <w:r>
        <w:rPr>
          <w:rFonts w:hint="eastAsia" w:ascii="仿宋_GB2312" w:hAnsi="仿宋_GB2312" w:eastAsia="仿宋_GB2312" w:cs="仿宋_GB2312"/>
          <w:sz w:val="32"/>
          <w:szCs w:val="32"/>
          <w:lang w:eastAsia="zh-Hans"/>
        </w:rPr>
        <w:t>分为日常</w:t>
      </w:r>
      <w:r>
        <w:rPr>
          <w:rFonts w:hint="eastAsia" w:ascii="仿宋_GB2312" w:hAnsi="仿宋_GB2312" w:eastAsia="仿宋_GB2312" w:cs="仿宋_GB2312"/>
          <w:sz w:val="32"/>
          <w:szCs w:val="32"/>
        </w:rPr>
        <w:t>奖励</w:t>
      </w:r>
      <w:r>
        <w:rPr>
          <w:rFonts w:hint="eastAsia" w:ascii="仿宋_GB2312" w:hAnsi="仿宋_GB2312" w:eastAsia="仿宋_GB2312" w:cs="仿宋_GB2312"/>
          <w:sz w:val="32"/>
          <w:szCs w:val="32"/>
          <w:lang w:eastAsia="zh-Hans"/>
        </w:rPr>
        <w:t>和年度</w:t>
      </w:r>
      <w:r>
        <w:rPr>
          <w:rFonts w:hint="eastAsia" w:ascii="仿宋_GB2312" w:hAnsi="仿宋_GB2312" w:eastAsia="仿宋_GB2312" w:cs="仿宋_GB2312"/>
          <w:sz w:val="32"/>
          <w:szCs w:val="32"/>
        </w:rPr>
        <w:t>奖励</w:t>
      </w:r>
      <w:r>
        <w:rPr>
          <w:rFonts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eastAsia="zh-Hans"/>
        </w:rPr>
        <w:t>日常</w:t>
      </w:r>
      <w:r>
        <w:rPr>
          <w:rFonts w:hint="eastAsia" w:ascii="仿宋_GB2312" w:hAnsi="仿宋_GB2312" w:eastAsia="仿宋_GB2312" w:cs="仿宋_GB2312"/>
          <w:sz w:val="32"/>
          <w:szCs w:val="32"/>
        </w:rPr>
        <w:t>奖励</w:t>
      </w:r>
      <w:r>
        <w:rPr>
          <w:rFonts w:hint="eastAsia" w:ascii="仿宋_GB2312" w:hAnsi="仿宋_GB2312" w:eastAsia="仿宋_GB2312" w:cs="仿宋_GB2312"/>
          <w:sz w:val="32"/>
          <w:szCs w:val="32"/>
          <w:lang w:eastAsia="zh-Hans"/>
        </w:rPr>
        <w:t>以充电量为基准给予</w:t>
      </w:r>
      <w:r>
        <w:rPr>
          <w:rFonts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eastAsia="zh-Hans"/>
        </w:rPr>
        <w:t>年度</w:t>
      </w:r>
      <w:r>
        <w:rPr>
          <w:rFonts w:hint="eastAsia" w:ascii="仿宋_GB2312" w:hAnsi="仿宋_GB2312" w:eastAsia="仿宋_GB2312" w:cs="仿宋_GB2312"/>
          <w:sz w:val="32"/>
          <w:szCs w:val="32"/>
        </w:rPr>
        <w:t>奖励</w:t>
      </w:r>
      <w:r>
        <w:rPr>
          <w:rFonts w:hint="eastAsia" w:ascii="仿宋_GB2312" w:hAnsi="仿宋_GB2312" w:eastAsia="仿宋_GB2312" w:cs="仿宋_GB2312"/>
          <w:sz w:val="32"/>
          <w:szCs w:val="32"/>
          <w:lang w:eastAsia="zh-Hans"/>
        </w:rPr>
        <w:t>以功率为基准给予</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bCs/>
          <w:snapToGrid w:val="0"/>
          <w:color w:val="000000"/>
          <w:kern w:val="32"/>
          <w:sz w:val="32"/>
          <w:szCs w:val="32"/>
        </w:rPr>
      </w:pPr>
      <w:r>
        <w:rPr>
          <w:rFonts w:hint="eastAsia" w:ascii="仿宋_GB2312" w:hAnsi="仿宋_GB2312" w:eastAsia="仿宋_GB2312" w:cs="仿宋_GB2312"/>
          <w:bCs/>
          <w:snapToGrid w:val="0"/>
          <w:color w:val="000000"/>
          <w:kern w:val="32"/>
          <w:sz w:val="32"/>
          <w:szCs w:val="32"/>
        </w:rPr>
        <w:t>（五）</w:t>
      </w:r>
      <w:r>
        <w:rPr>
          <w:rFonts w:hint="eastAsia" w:ascii="仿宋_GB2312" w:hAnsi="仿宋_GB2312" w:eastAsia="仿宋_GB2312" w:cs="仿宋_GB2312"/>
          <w:bCs/>
          <w:snapToGrid w:val="0"/>
          <w:color w:val="000000"/>
          <w:kern w:val="32"/>
          <w:sz w:val="32"/>
          <w:szCs w:val="32"/>
          <w:u w:val="none"/>
        </w:rPr>
        <w:t>对充电精品示范区</w:t>
      </w:r>
      <w:r>
        <w:rPr>
          <w:rFonts w:hint="eastAsia" w:ascii="仿宋_GB2312" w:hAnsi="仿宋_GB2312" w:eastAsia="仿宋_GB2312" w:cs="仿宋_GB2312"/>
          <w:bCs/>
          <w:snapToGrid w:val="0"/>
          <w:color w:val="000000"/>
          <w:kern w:val="32"/>
          <w:sz w:val="32"/>
          <w:szCs w:val="32"/>
        </w:rPr>
        <w:t>给予运营奖励，</w:t>
      </w:r>
      <w:r>
        <w:rPr>
          <w:rFonts w:hint="eastAsia" w:ascii="仿宋_GB2312" w:hAnsi="仿宋_GB2312" w:eastAsia="仿宋_GB2312" w:cs="仿宋_GB2312"/>
          <w:bCs/>
          <w:snapToGrid w:val="0"/>
          <w:color w:val="000000"/>
          <w:kern w:val="32"/>
          <w:sz w:val="32"/>
          <w:szCs w:val="32"/>
          <w:lang w:eastAsia="zh-Hans"/>
        </w:rPr>
        <w:t>分为日常</w:t>
      </w:r>
      <w:r>
        <w:rPr>
          <w:rFonts w:hint="eastAsia" w:ascii="仿宋_GB2312" w:hAnsi="仿宋_GB2312" w:eastAsia="仿宋_GB2312" w:cs="仿宋_GB2312"/>
          <w:bCs/>
          <w:snapToGrid w:val="0"/>
          <w:color w:val="000000"/>
          <w:kern w:val="32"/>
          <w:sz w:val="32"/>
          <w:szCs w:val="32"/>
        </w:rPr>
        <w:t>奖励</w:t>
      </w:r>
      <w:r>
        <w:rPr>
          <w:rFonts w:hint="eastAsia" w:ascii="仿宋_GB2312" w:hAnsi="仿宋_GB2312" w:eastAsia="仿宋_GB2312" w:cs="仿宋_GB2312"/>
          <w:bCs/>
          <w:snapToGrid w:val="0"/>
          <w:color w:val="000000"/>
          <w:kern w:val="32"/>
          <w:sz w:val="32"/>
          <w:szCs w:val="32"/>
          <w:lang w:eastAsia="zh-Hans"/>
        </w:rPr>
        <w:t>和年度</w:t>
      </w:r>
      <w:r>
        <w:rPr>
          <w:rFonts w:hint="eastAsia" w:ascii="仿宋_GB2312" w:hAnsi="仿宋_GB2312" w:eastAsia="仿宋_GB2312" w:cs="仿宋_GB2312"/>
          <w:bCs/>
          <w:snapToGrid w:val="0"/>
          <w:color w:val="000000"/>
          <w:kern w:val="32"/>
          <w:sz w:val="32"/>
          <w:szCs w:val="32"/>
        </w:rPr>
        <w:t>奖励</w:t>
      </w:r>
      <w:r>
        <w:rPr>
          <w:rFonts w:hint="eastAsia" w:ascii="仿宋_GB2312" w:hAnsi="仿宋_GB2312" w:eastAsia="仿宋_GB2312" w:cs="仿宋_GB2312"/>
          <w:bCs/>
          <w:snapToGrid w:val="0"/>
          <w:color w:val="000000"/>
          <w:kern w:val="32"/>
          <w:sz w:val="32"/>
          <w:szCs w:val="32"/>
          <w:lang w:eastAsia="zh-Hans"/>
        </w:rPr>
        <w:t>，日常</w:t>
      </w:r>
      <w:r>
        <w:rPr>
          <w:rFonts w:hint="eastAsia" w:ascii="仿宋_GB2312" w:hAnsi="仿宋_GB2312" w:eastAsia="仿宋_GB2312" w:cs="仿宋_GB2312"/>
          <w:bCs/>
          <w:snapToGrid w:val="0"/>
          <w:color w:val="000000"/>
          <w:kern w:val="32"/>
          <w:sz w:val="32"/>
          <w:szCs w:val="32"/>
        </w:rPr>
        <w:t>奖励</w:t>
      </w:r>
      <w:r>
        <w:rPr>
          <w:rFonts w:hint="eastAsia" w:ascii="仿宋_GB2312" w:hAnsi="仿宋_GB2312" w:eastAsia="仿宋_GB2312" w:cs="仿宋_GB2312"/>
          <w:bCs/>
          <w:snapToGrid w:val="0"/>
          <w:color w:val="000000"/>
          <w:kern w:val="32"/>
          <w:sz w:val="32"/>
          <w:szCs w:val="32"/>
          <w:lang w:eastAsia="zh-Hans"/>
        </w:rPr>
        <w:t>以充电量为基准给予，年度</w:t>
      </w:r>
      <w:r>
        <w:rPr>
          <w:rFonts w:hint="eastAsia" w:ascii="仿宋_GB2312" w:hAnsi="仿宋_GB2312" w:eastAsia="仿宋_GB2312" w:cs="仿宋_GB2312"/>
          <w:bCs/>
          <w:snapToGrid w:val="0"/>
          <w:color w:val="000000"/>
          <w:kern w:val="32"/>
          <w:sz w:val="32"/>
          <w:szCs w:val="32"/>
        </w:rPr>
        <w:t>奖励</w:t>
      </w:r>
      <w:r>
        <w:rPr>
          <w:rFonts w:hint="eastAsia" w:ascii="仿宋_GB2312" w:hAnsi="仿宋_GB2312" w:eastAsia="仿宋_GB2312" w:cs="仿宋_GB2312"/>
          <w:bCs/>
          <w:snapToGrid w:val="0"/>
          <w:color w:val="000000"/>
          <w:kern w:val="32"/>
          <w:sz w:val="32"/>
          <w:szCs w:val="32"/>
          <w:lang w:eastAsia="zh-Hans"/>
        </w:rPr>
        <w:t>以功率为基准给予</w:t>
      </w:r>
      <w:r>
        <w:rPr>
          <w:rFonts w:hint="eastAsia" w:ascii="仿宋_GB2312" w:hAnsi="仿宋_GB2312" w:eastAsia="仿宋_GB2312" w:cs="仿宋_GB2312"/>
          <w:bCs/>
          <w:snapToGrid w:val="0"/>
          <w:color w:val="000000"/>
          <w:kern w:val="32"/>
          <w:sz w:val="32"/>
          <w:szCs w:val="32"/>
        </w:rPr>
        <w:t>。</w:t>
      </w:r>
    </w:p>
    <w:p>
      <w:pPr>
        <w:spacing w:line="560" w:lineRule="exact"/>
        <w:ind w:firstLine="640" w:firstLineChars="200"/>
        <w:rPr>
          <w:rFonts w:ascii="仿宋_GB2312" w:hAnsi="仿宋_GB2312" w:eastAsia="仿宋_GB2312" w:cs="仿宋_GB2312"/>
          <w:bCs/>
          <w:snapToGrid w:val="0"/>
          <w:color w:val="000000"/>
          <w:kern w:val="32"/>
          <w:sz w:val="32"/>
          <w:szCs w:val="32"/>
        </w:rPr>
      </w:pPr>
      <w:r>
        <w:rPr>
          <w:rFonts w:hint="eastAsia" w:ascii="仿宋_GB2312" w:hAnsi="仿宋_GB2312" w:eastAsia="仿宋_GB2312" w:cs="仿宋_GB2312"/>
          <w:bCs/>
          <w:snapToGrid w:val="0"/>
          <w:color w:val="000000"/>
          <w:kern w:val="32"/>
          <w:sz w:val="32"/>
          <w:szCs w:val="32"/>
        </w:rPr>
        <w:t>（六）对</w:t>
      </w:r>
      <w:r>
        <w:rPr>
          <w:rFonts w:ascii="仿宋_GB2312" w:hAnsi="宋体" w:eastAsia="仿宋_GB2312" w:cs="宋体"/>
          <w:bCs/>
          <w:snapToGrid w:val="0"/>
          <w:color w:val="000000"/>
          <w:kern w:val="32"/>
          <w:sz w:val="32"/>
          <w:szCs w:val="32"/>
          <w:lang w:eastAsia="zh-Hans"/>
        </w:rPr>
        <w:t>2022</w:t>
      </w:r>
      <w:r>
        <w:rPr>
          <w:rFonts w:hint="eastAsia" w:ascii="仿宋_GB2312" w:hAnsi="宋体" w:eastAsia="仿宋_GB2312" w:cs="宋体"/>
          <w:bCs/>
          <w:snapToGrid w:val="0"/>
          <w:color w:val="000000"/>
          <w:kern w:val="32"/>
          <w:sz w:val="32"/>
          <w:szCs w:val="32"/>
          <w:lang w:eastAsia="zh-Hans"/>
        </w:rPr>
        <w:t>年</w:t>
      </w:r>
      <w:r>
        <w:rPr>
          <w:rFonts w:ascii="仿宋_GB2312" w:hAnsi="宋体" w:eastAsia="仿宋_GB2312" w:cs="宋体"/>
          <w:bCs/>
          <w:snapToGrid w:val="0"/>
          <w:color w:val="000000"/>
          <w:kern w:val="32"/>
          <w:sz w:val="32"/>
          <w:szCs w:val="32"/>
          <w:lang w:eastAsia="zh-Hans"/>
        </w:rPr>
        <w:t>5</w:t>
      </w:r>
      <w:r>
        <w:rPr>
          <w:rFonts w:hint="eastAsia" w:ascii="仿宋_GB2312" w:hAnsi="宋体" w:eastAsia="仿宋_GB2312" w:cs="宋体"/>
          <w:bCs/>
          <w:snapToGrid w:val="0"/>
          <w:color w:val="000000"/>
          <w:kern w:val="32"/>
          <w:sz w:val="32"/>
          <w:szCs w:val="32"/>
          <w:lang w:eastAsia="zh-Hans"/>
        </w:rPr>
        <w:t>月</w:t>
      </w:r>
      <w:r>
        <w:rPr>
          <w:rFonts w:ascii="仿宋_GB2312" w:hAnsi="宋体" w:eastAsia="仿宋_GB2312" w:cs="宋体"/>
          <w:bCs/>
          <w:snapToGrid w:val="0"/>
          <w:color w:val="000000"/>
          <w:kern w:val="32"/>
          <w:sz w:val="32"/>
          <w:szCs w:val="32"/>
          <w:lang w:eastAsia="zh-Hans"/>
        </w:rPr>
        <w:t>31</w:t>
      </w:r>
      <w:r>
        <w:rPr>
          <w:rFonts w:hint="eastAsia" w:ascii="仿宋_GB2312" w:hAnsi="宋体" w:eastAsia="仿宋_GB2312" w:cs="宋体"/>
          <w:bCs/>
          <w:snapToGrid w:val="0"/>
          <w:color w:val="000000"/>
          <w:kern w:val="32"/>
          <w:sz w:val="32"/>
          <w:szCs w:val="32"/>
          <w:lang w:eastAsia="zh-Hans"/>
        </w:rPr>
        <w:t>日之前</w:t>
      </w:r>
      <w:r>
        <w:rPr>
          <w:rFonts w:hint="eastAsia" w:ascii="仿宋_GB2312" w:hAnsi="宋体" w:eastAsia="仿宋_GB2312" w:cs="宋体"/>
          <w:bCs/>
          <w:snapToGrid w:val="0"/>
          <w:color w:val="000000"/>
          <w:kern w:val="32"/>
          <w:sz w:val="32"/>
          <w:szCs w:val="32"/>
        </w:rPr>
        <w:t>建成、在</w:t>
      </w:r>
      <w:r>
        <w:rPr>
          <w:rFonts w:hint="eastAsia" w:ascii="仿宋_GB2312" w:hAnsi="仿宋_GB2312" w:eastAsia="仿宋_GB2312" w:cs="仿宋_GB2312"/>
          <w:bCs/>
          <w:snapToGrid w:val="0"/>
          <w:color w:val="000000"/>
          <w:kern w:val="32"/>
          <w:sz w:val="32"/>
          <w:szCs w:val="32"/>
        </w:rPr>
        <w:t>2022</w:t>
      </w:r>
      <w:r>
        <w:rPr>
          <w:rFonts w:hint="eastAsia" w:ascii="仿宋_GB2312" w:hAnsi="仿宋_GB2312" w:eastAsia="仿宋_GB2312" w:cs="仿宋_GB2312"/>
          <w:bCs/>
          <w:snapToGrid w:val="0"/>
          <w:color w:val="000000"/>
          <w:kern w:val="32"/>
          <w:sz w:val="32"/>
          <w:szCs w:val="32"/>
          <w:lang w:eastAsia="zh-Hans"/>
        </w:rPr>
        <w:t>年6月1日-2023年7月31日</w:t>
      </w:r>
      <w:r>
        <w:rPr>
          <w:rFonts w:hint="eastAsia" w:ascii="仿宋_GB2312" w:hAnsi="仿宋_GB2312" w:eastAsia="仿宋_GB2312" w:cs="仿宋_GB2312"/>
          <w:bCs/>
          <w:snapToGrid w:val="0"/>
          <w:color w:val="000000"/>
          <w:kern w:val="32"/>
          <w:sz w:val="32"/>
          <w:szCs w:val="32"/>
        </w:rPr>
        <w:t>期</w:t>
      </w:r>
      <w:r>
        <w:rPr>
          <w:rFonts w:hint="eastAsia" w:ascii="仿宋_GB2312" w:hAnsi="仿宋_GB2312" w:eastAsia="仿宋_GB2312" w:cs="仿宋_GB2312"/>
          <w:bCs/>
          <w:snapToGrid w:val="0"/>
          <w:color w:val="000000"/>
          <w:kern w:val="32"/>
          <w:sz w:val="32"/>
          <w:szCs w:val="32"/>
          <w:lang w:eastAsia="zh-Hans"/>
        </w:rPr>
        <w:t>间</w:t>
      </w:r>
      <w:r>
        <w:rPr>
          <w:rFonts w:hint="eastAsia" w:ascii="仿宋_GB2312" w:hAnsi="仿宋_GB2312" w:eastAsia="仿宋_GB2312" w:cs="仿宋_GB2312"/>
          <w:bCs/>
          <w:snapToGrid w:val="0"/>
          <w:color w:val="000000"/>
          <w:kern w:val="32"/>
          <w:sz w:val="32"/>
          <w:szCs w:val="32"/>
        </w:rPr>
        <w:t>运营的换电设施给予运营奖励，</w:t>
      </w:r>
      <w:r>
        <w:rPr>
          <w:rFonts w:hint="eastAsia" w:ascii="仿宋_GB2312" w:hAnsi="仿宋_GB2312" w:eastAsia="仿宋_GB2312" w:cs="仿宋_GB2312"/>
          <w:bCs/>
          <w:snapToGrid w:val="0"/>
          <w:color w:val="000000"/>
          <w:kern w:val="32"/>
          <w:sz w:val="32"/>
          <w:szCs w:val="32"/>
          <w:lang w:eastAsia="zh-Hans"/>
        </w:rPr>
        <w:t>分为</w:t>
      </w:r>
      <w:r>
        <w:rPr>
          <w:rFonts w:hint="eastAsia" w:ascii="仿宋_GB2312" w:hAnsi="仿宋_GB2312" w:eastAsia="仿宋_GB2312" w:cs="仿宋_GB2312"/>
          <w:sz w:val="32"/>
          <w:szCs w:val="32"/>
          <w:lang w:eastAsia="zh-Hans"/>
        </w:rPr>
        <w:t>日常</w:t>
      </w:r>
      <w:r>
        <w:rPr>
          <w:rFonts w:hint="eastAsia" w:ascii="仿宋_GB2312" w:hAnsi="仿宋_GB2312" w:eastAsia="仿宋_GB2312" w:cs="仿宋_GB2312"/>
          <w:sz w:val="32"/>
          <w:szCs w:val="32"/>
        </w:rPr>
        <w:t>奖励</w:t>
      </w:r>
      <w:r>
        <w:rPr>
          <w:rFonts w:hint="eastAsia" w:ascii="仿宋_GB2312" w:hAnsi="仿宋_GB2312" w:eastAsia="仿宋_GB2312" w:cs="仿宋_GB2312"/>
          <w:sz w:val="32"/>
          <w:szCs w:val="32"/>
          <w:lang w:eastAsia="zh-Hans"/>
        </w:rPr>
        <w:t>和年度</w:t>
      </w:r>
      <w:r>
        <w:rPr>
          <w:rFonts w:hint="eastAsia" w:ascii="仿宋_GB2312" w:hAnsi="仿宋_GB2312" w:eastAsia="仿宋_GB2312" w:cs="仿宋_GB2312"/>
          <w:sz w:val="32"/>
          <w:szCs w:val="32"/>
        </w:rPr>
        <w:t>奖励</w:t>
      </w:r>
      <w:r>
        <w:rPr>
          <w:rFonts w:hint="eastAsia" w:ascii="仿宋_GB2312" w:hAnsi="仿宋_GB2312" w:eastAsia="仿宋_GB2312" w:cs="仿宋_GB2312"/>
          <w:bCs/>
          <w:snapToGrid w:val="0"/>
          <w:color w:val="000000"/>
          <w:kern w:val="32"/>
          <w:sz w:val="32"/>
          <w:szCs w:val="32"/>
          <w:lang w:eastAsia="zh-Hans"/>
        </w:rPr>
        <w:t>，日常</w:t>
      </w:r>
      <w:r>
        <w:rPr>
          <w:rFonts w:hint="eastAsia" w:ascii="仿宋_GB2312" w:hAnsi="仿宋_GB2312" w:eastAsia="仿宋_GB2312" w:cs="仿宋_GB2312"/>
          <w:sz w:val="32"/>
          <w:szCs w:val="32"/>
        </w:rPr>
        <w:t>奖励</w:t>
      </w:r>
      <w:r>
        <w:rPr>
          <w:rFonts w:hint="eastAsia" w:ascii="仿宋_GB2312" w:hAnsi="仿宋_GB2312" w:eastAsia="仿宋_GB2312" w:cs="仿宋_GB2312"/>
          <w:bCs/>
          <w:snapToGrid w:val="0"/>
          <w:color w:val="000000"/>
          <w:kern w:val="32"/>
          <w:sz w:val="32"/>
          <w:szCs w:val="32"/>
          <w:lang w:eastAsia="zh-Hans"/>
        </w:rPr>
        <w:t>以换电量为基准给予，年度</w:t>
      </w:r>
      <w:r>
        <w:rPr>
          <w:rFonts w:hint="eastAsia" w:ascii="仿宋_GB2312" w:hAnsi="仿宋_GB2312" w:eastAsia="仿宋_GB2312" w:cs="仿宋_GB2312"/>
          <w:sz w:val="32"/>
          <w:szCs w:val="32"/>
        </w:rPr>
        <w:t>奖励</w:t>
      </w:r>
      <w:r>
        <w:rPr>
          <w:rFonts w:hint="eastAsia" w:ascii="仿宋_GB2312" w:hAnsi="仿宋_GB2312" w:eastAsia="仿宋_GB2312" w:cs="仿宋_GB2312"/>
          <w:bCs/>
          <w:snapToGrid w:val="0"/>
          <w:color w:val="000000"/>
          <w:kern w:val="32"/>
          <w:sz w:val="32"/>
          <w:szCs w:val="32"/>
          <w:lang w:eastAsia="zh-Hans"/>
        </w:rPr>
        <w:t>以功率为基准给予</w:t>
      </w:r>
      <w:r>
        <w:rPr>
          <w:rFonts w:hint="eastAsia" w:ascii="仿宋_GB2312" w:hAnsi="仿宋_GB2312" w:eastAsia="仿宋_GB2312" w:cs="仿宋_GB2312"/>
          <w:bCs/>
          <w:snapToGrid w:val="0"/>
          <w:color w:val="000000"/>
          <w:kern w:val="32"/>
          <w:sz w:val="32"/>
          <w:szCs w:val="32"/>
        </w:rPr>
        <w:t>。对</w:t>
      </w:r>
      <w:r>
        <w:rPr>
          <w:rFonts w:ascii="仿宋_GB2312" w:hAnsi="宋体" w:eastAsia="仿宋_GB2312" w:cs="宋体"/>
          <w:bCs/>
          <w:snapToGrid w:val="0"/>
          <w:color w:val="000000"/>
          <w:kern w:val="32"/>
          <w:sz w:val="32"/>
          <w:szCs w:val="32"/>
          <w:lang w:eastAsia="zh-Hans"/>
        </w:rPr>
        <w:t>2022</w:t>
      </w:r>
      <w:r>
        <w:rPr>
          <w:rFonts w:hint="eastAsia" w:ascii="仿宋_GB2312" w:hAnsi="宋体" w:eastAsia="仿宋_GB2312" w:cs="宋体"/>
          <w:bCs/>
          <w:snapToGrid w:val="0"/>
          <w:color w:val="000000"/>
          <w:kern w:val="32"/>
          <w:sz w:val="32"/>
          <w:szCs w:val="32"/>
          <w:lang w:eastAsia="zh-Hans"/>
        </w:rPr>
        <w:t>年</w:t>
      </w:r>
      <w:r>
        <w:rPr>
          <w:rFonts w:hint="eastAsia" w:ascii="仿宋_GB2312" w:hAnsi="宋体" w:eastAsia="仿宋_GB2312" w:cs="宋体"/>
          <w:bCs/>
          <w:snapToGrid w:val="0"/>
          <w:color w:val="000000"/>
          <w:kern w:val="32"/>
          <w:sz w:val="32"/>
          <w:szCs w:val="32"/>
        </w:rPr>
        <w:t>6</w:t>
      </w:r>
      <w:r>
        <w:rPr>
          <w:rFonts w:hint="eastAsia" w:ascii="仿宋_GB2312" w:hAnsi="宋体" w:eastAsia="仿宋_GB2312" w:cs="宋体"/>
          <w:bCs/>
          <w:snapToGrid w:val="0"/>
          <w:color w:val="000000"/>
          <w:kern w:val="32"/>
          <w:sz w:val="32"/>
          <w:szCs w:val="32"/>
          <w:lang w:eastAsia="zh-Hans"/>
        </w:rPr>
        <w:t>月</w:t>
      </w:r>
      <w:r>
        <w:rPr>
          <w:rFonts w:ascii="仿宋_GB2312" w:hAnsi="宋体" w:eastAsia="仿宋_GB2312" w:cs="宋体"/>
          <w:bCs/>
          <w:snapToGrid w:val="0"/>
          <w:color w:val="000000"/>
          <w:kern w:val="32"/>
          <w:sz w:val="32"/>
          <w:szCs w:val="32"/>
          <w:lang w:eastAsia="zh-Hans"/>
        </w:rPr>
        <w:t>1</w:t>
      </w:r>
      <w:r>
        <w:rPr>
          <w:rFonts w:hint="eastAsia" w:ascii="仿宋_GB2312" w:hAnsi="宋体" w:eastAsia="仿宋_GB2312" w:cs="宋体"/>
          <w:bCs/>
          <w:snapToGrid w:val="0"/>
          <w:color w:val="000000"/>
          <w:kern w:val="32"/>
          <w:sz w:val="32"/>
          <w:szCs w:val="32"/>
          <w:lang w:eastAsia="zh-Hans"/>
        </w:rPr>
        <w:t>日</w:t>
      </w:r>
      <w:r>
        <w:rPr>
          <w:rFonts w:hint="eastAsia" w:ascii="仿宋_GB2312" w:hAnsi="宋体" w:eastAsia="仿宋_GB2312" w:cs="宋体"/>
          <w:bCs/>
          <w:snapToGrid w:val="0"/>
          <w:color w:val="000000"/>
          <w:kern w:val="32"/>
          <w:sz w:val="32"/>
          <w:szCs w:val="32"/>
        </w:rPr>
        <w:t>-2023年7月31日期间建成的换电站给予一次性建设奖励。</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仿宋_GB2312" w:eastAsia="仿宋_GB2312" w:cs="仿宋_GB2312"/>
          <w:bCs/>
          <w:snapToGrid w:val="0"/>
          <w:color w:val="000000"/>
          <w:kern w:val="32"/>
          <w:sz w:val="32"/>
          <w:szCs w:val="32"/>
        </w:rPr>
        <w:t>（七）对2022年6月1日-2023年7月31日期间新建（含改扩建）的</w:t>
      </w:r>
      <w:r>
        <w:rPr>
          <w:rFonts w:hint="eastAsia" w:ascii="仿宋_GB2312" w:hAnsi="宋体" w:eastAsia="仿宋_GB2312" w:cs="宋体"/>
          <w:bCs/>
          <w:snapToGrid w:val="0"/>
          <w:color w:val="000000"/>
          <w:kern w:val="32"/>
          <w:sz w:val="32"/>
          <w:szCs w:val="32"/>
        </w:rPr>
        <w:t>V2G、光（储）充、</w:t>
      </w:r>
      <w:r>
        <w:rPr>
          <w:rFonts w:hint="eastAsia" w:ascii="仿宋_GB2312" w:hAnsi="仿宋_GB2312" w:eastAsia="仿宋_GB2312" w:cs="仿宋_GB2312"/>
          <w:bCs/>
          <w:snapToGrid w:val="0"/>
          <w:color w:val="000000"/>
          <w:kern w:val="32"/>
          <w:sz w:val="32"/>
          <w:szCs w:val="32"/>
        </w:rPr>
        <w:t>有序充电桩（不含公交等专用桩、社会公用充电桩）等示范充电站（桩）</w:t>
      </w:r>
      <w:r>
        <w:rPr>
          <w:rFonts w:hint="eastAsia" w:ascii="仿宋_GB2312" w:hAnsi="宋体" w:eastAsia="仿宋_GB2312" w:cs="宋体"/>
          <w:bCs/>
          <w:snapToGrid w:val="0"/>
          <w:color w:val="000000"/>
          <w:kern w:val="32"/>
          <w:sz w:val="32"/>
          <w:szCs w:val="32"/>
        </w:rPr>
        <w:t>给予建设奖励。</w:t>
      </w:r>
    </w:p>
    <w:p>
      <w:pPr>
        <w:pStyle w:val="2"/>
        <w:ind w:firstLine="640" w:firstLineChars="200"/>
        <w:jc w:val="both"/>
        <w:rPr>
          <w:rFonts w:hint="eastAsia" w:ascii="仿宋_GB2312" w:hAnsi="宋体" w:eastAsia="仿宋_GB2312" w:cs="宋体"/>
          <w:b w:val="0"/>
          <w:bCs w:val="0"/>
          <w:snapToGrid w:val="0"/>
          <w:color w:val="000000"/>
          <w:kern w:val="32"/>
          <w:sz w:val="32"/>
          <w:szCs w:val="32"/>
        </w:rPr>
      </w:pPr>
      <w:r>
        <w:rPr>
          <w:rFonts w:hint="eastAsia" w:ascii="仿宋_GB2312" w:hAnsi="宋体" w:eastAsia="仿宋_GB2312" w:cs="宋体"/>
          <w:b w:val="0"/>
          <w:bCs w:val="0"/>
          <w:snapToGrid w:val="0"/>
          <w:color w:val="000000"/>
          <w:kern w:val="32"/>
          <w:sz w:val="32"/>
          <w:szCs w:val="32"/>
        </w:rPr>
        <w:t>（八）以上奖补对象</w:t>
      </w:r>
      <w:r>
        <w:rPr>
          <w:rFonts w:hint="eastAsia" w:ascii="仿宋_GB2312" w:hAnsi="宋体" w:eastAsia="仿宋_GB2312" w:cs="宋体"/>
          <w:b w:val="0"/>
          <w:bCs w:val="0"/>
          <w:snapToGrid w:val="0"/>
          <w:color w:val="000000"/>
          <w:kern w:val="32"/>
          <w:sz w:val="32"/>
          <w:szCs w:val="32"/>
          <w:lang w:eastAsia="zh-CN"/>
        </w:rPr>
        <w:t>（</w:t>
      </w:r>
      <w:r>
        <w:rPr>
          <w:rFonts w:hint="eastAsia" w:ascii="仿宋_GB2312" w:hAnsi="宋体" w:eastAsia="仿宋_GB2312" w:cs="宋体"/>
          <w:b w:val="0"/>
          <w:bCs w:val="0"/>
          <w:snapToGrid w:val="0"/>
          <w:color w:val="000000"/>
          <w:kern w:val="32"/>
          <w:sz w:val="32"/>
          <w:szCs w:val="32"/>
          <w:lang w:val="en-US" w:eastAsia="zh-CN"/>
        </w:rPr>
        <w:t>附件1</w:t>
      </w:r>
      <w:r>
        <w:rPr>
          <w:rFonts w:hint="eastAsia" w:ascii="仿宋_GB2312" w:hAnsi="宋体" w:eastAsia="仿宋_GB2312" w:cs="宋体"/>
          <w:b w:val="0"/>
          <w:bCs w:val="0"/>
          <w:snapToGrid w:val="0"/>
          <w:color w:val="000000"/>
          <w:kern w:val="32"/>
          <w:sz w:val="32"/>
          <w:szCs w:val="32"/>
          <w:lang w:eastAsia="zh-CN"/>
        </w:rPr>
        <w:t>）</w:t>
      </w:r>
      <w:r>
        <w:rPr>
          <w:rFonts w:hint="eastAsia" w:ascii="仿宋_GB2312" w:hAnsi="宋体" w:eastAsia="仿宋_GB2312" w:cs="宋体"/>
          <w:b w:val="0"/>
          <w:bCs w:val="0"/>
          <w:snapToGrid w:val="0"/>
          <w:color w:val="000000"/>
          <w:kern w:val="32"/>
          <w:sz w:val="32"/>
          <w:szCs w:val="32"/>
        </w:rPr>
        <w:t>不重复支持。</w:t>
      </w:r>
    </w:p>
    <w:p>
      <w:pPr>
        <w:pStyle w:val="2"/>
        <w:ind w:firstLine="640" w:firstLineChars="200"/>
        <w:jc w:val="both"/>
        <w:rPr>
          <w:rFonts w:hint="eastAsia" w:ascii="仿宋_GB2312" w:hAnsi="宋体" w:eastAsia="仿宋_GB2312" w:cs="宋体"/>
          <w:b w:val="0"/>
          <w:bCs w:val="0"/>
          <w:snapToGrid w:val="0"/>
          <w:color w:val="000000"/>
          <w:kern w:val="32"/>
          <w:sz w:val="32"/>
          <w:szCs w:val="32"/>
          <w:lang w:eastAsia="zh-CN"/>
        </w:rPr>
      </w:pPr>
      <w:r>
        <w:rPr>
          <w:rFonts w:hint="eastAsia" w:ascii="仿宋_GB2312" w:hAnsi="宋体" w:eastAsia="仿宋_GB2312" w:cs="宋体"/>
          <w:b w:val="0"/>
          <w:bCs w:val="0"/>
          <w:snapToGrid w:val="0"/>
          <w:color w:val="000000"/>
          <w:kern w:val="32"/>
          <w:sz w:val="32"/>
          <w:szCs w:val="32"/>
        </w:rPr>
        <w:t>奖励</w:t>
      </w:r>
      <w:r>
        <w:rPr>
          <w:rFonts w:hint="eastAsia" w:ascii="仿宋_GB2312" w:hAnsi="宋体" w:eastAsia="仿宋_GB2312" w:cs="宋体"/>
          <w:b w:val="0"/>
          <w:bCs w:val="0"/>
          <w:snapToGrid w:val="0"/>
          <w:color w:val="000000"/>
          <w:kern w:val="32"/>
          <w:sz w:val="32"/>
          <w:szCs w:val="32"/>
          <w:lang w:val="en-US" w:eastAsia="zh-CN"/>
        </w:rPr>
        <w:t>标准如表1，其中年度奖励</w:t>
      </w:r>
      <w:r>
        <w:rPr>
          <w:rFonts w:hint="eastAsia" w:ascii="仿宋_GB2312" w:hAnsi="宋体" w:eastAsia="仿宋_GB2312" w:cs="宋体"/>
          <w:b w:val="0"/>
          <w:bCs w:val="0"/>
          <w:snapToGrid w:val="0"/>
          <w:color w:val="000000"/>
          <w:kern w:val="32"/>
          <w:sz w:val="32"/>
          <w:szCs w:val="32"/>
        </w:rPr>
        <w:t>额应结合不同等级奖励标准和纳入奖励范围的具体天数给予</w:t>
      </w:r>
      <w:r>
        <w:rPr>
          <w:rFonts w:hint="eastAsia" w:ascii="仿宋_GB2312" w:hAnsi="宋体" w:eastAsia="仿宋_GB2312" w:cs="宋体"/>
          <w:b w:val="0"/>
          <w:bCs w:val="0"/>
          <w:snapToGrid w:val="0"/>
          <w:color w:val="000000"/>
          <w:kern w:val="32"/>
          <w:sz w:val="32"/>
          <w:szCs w:val="32"/>
          <w:lang w:eastAsia="zh-CN"/>
        </w:rPr>
        <w:t>。</w:t>
      </w:r>
    </w:p>
    <w:p>
      <w:pPr>
        <w:pStyle w:val="2"/>
        <w:rPr>
          <w:rFonts w:ascii="黑体" w:hAnsi="黑体" w:eastAsia="黑体" w:cs="黑体"/>
          <w:b w:val="0"/>
          <w:bCs w:val="0"/>
          <w:sz w:val="28"/>
          <w:szCs w:val="28"/>
        </w:rPr>
      </w:pPr>
      <w:r>
        <w:rPr>
          <w:rFonts w:hint="eastAsia" w:ascii="黑体" w:hAnsi="黑体" w:eastAsia="黑体" w:cs="黑体"/>
          <w:b w:val="0"/>
          <w:bCs w:val="0"/>
          <w:snapToGrid w:val="0"/>
          <w:color w:val="000000"/>
          <w:kern w:val="32"/>
          <w:sz w:val="28"/>
          <w:szCs w:val="28"/>
        </w:rPr>
        <w:t>表1 充换电设施建设运营奖励标准</w:t>
      </w:r>
    </w:p>
    <w:tbl>
      <w:tblPr>
        <w:tblStyle w:val="1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974"/>
        <w:gridCol w:w="700"/>
        <w:gridCol w:w="1180"/>
        <w:gridCol w:w="3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Align w:val="center"/>
          </w:tcPr>
          <w:p>
            <w:pPr>
              <w:jc w:val="center"/>
              <w:rPr>
                <w:rFonts w:ascii="宋体" w:hAnsi="宋体" w:eastAsia="宋体" w:cs="宋体"/>
                <w:b/>
                <w:snapToGrid w:val="0"/>
                <w:color w:val="000000"/>
                <w:kern w:val="32"/>
                <w:sz w:val="24"/>
              </w:rPr>
            </w:pPr>
            <w:r>
              <w:rPr>
                <w:rFonts w:hint="eastAsia" w:ascii="宋体" w:hAnsi="宋体" w:eastAsia="宋体" w:cs="宋体"/>
                <w:b/>
                <w:snapToGrid w:val="0"/>
                <w:color w:val="000000"/>
                <w:kern w:val="32"/>
                <w:sz w:val="24"/>
              </w:rPr>
              <w:t>序号</w:t>
            </w:r>
          </w:p>
        </w:tc>
        <w:tc>
          <w:tcPr>
            <w:tcW w:w="1974" w:type="dxa"/>
            <w:vAlign w:val="center"/>
          </w:tcPr>
          <w:p>
            <w:pPr>
              <w:jc w:val="center"/>
              <w:rPr>
                <w:rFonts w:ascii="宋体" w:hAnsi="宋体" w:eastAsia="宋体" w:cs="宋体"/>
                <w:b/>
                <w:snapToGrid w:val="0"/>
                <w:color w:val="000000"/>
                <w:kern w:val="32"/>
                <w:sz w:val="24"/>
              </w:rPr>
            </w:pPr>
            <w:r>
              <w:rPr>
                <w:rFonts w:hint="eastAsia" w:ascii="宋体" w:hAnsi="宋体" w:eastAsia="宋体" w:cs="宋体"/>
                <w:b/>
                <w:snapToGrid w:val="0"/>
                <w:color w:val="000000"/>
                <w:kern w:val="32"/>
                <w:sz w:val="24"/>
              </w:rPr>
              <w:t>奖励对象</w:t>
            </w:r>
          </w:p>
        </w:tc>
        <w:tc>
          <w:tcPr>
            <w:tcW w:w="1880" w:type="dxa"/>
            <w:gridSpan w:val="2"/>
            <w:vAlign w:val="center"/>
          </w:tcPr>
          <w:p>
            <w:pPr>
              <w:jc w:val="center"/>
              <w:rPr>
                <w:rFonts w:ascii="宋体" w:hAnsi="宋体" w:eastAsia="宋体" w:cs="宋体"/>
                <w:b/>
                <w:snapToGrid w:val="0"/>
                <w:color w:val="000000"/>
                <w:kern w:val="32"/>
                <w:sz w:val="24"/>
              </w:rPr>
            </w:pPr>
            <w:r>
              <w:rPr>
                <w:rFonts w:hint="eastAsia" w:ascii="宋体" w:hAnsi="宋体" w:eastAsia="宋体" w:cs="宋体"/>
                <w:b/>
                <w:snapToGrid w:val="0"/>
                <w:color w:val="000000"/>
                <w:kern w:val="32"/>
                <w:sz w:val="24"/>
              </w:rPr>
              <w:t>奖励方式</w:t>
            </w:r>
          </w:p>
        </w:tc>
        <w:tc>
          <w:tcPr>
            <w:tcW w:w="3880" w:type="dxa"/>
            <w:vAlign w:val="center"/>
          </w:tcPr>
          <w:p>
            <w:pPr>
              <w:jc w:val="center"/>
              <w:rPr>
                <w:rFonts w:ascii="宋体" w:hAnsi="宋体" w:eastAsia="宋体" w:cs="宋体"/>
                <w:b/>
                <w:snapToGrid w:val="0"/>
                <w:color w:val="000000"/>
                <w:kern w:val="32"/>
                <w:sz w:val="24"/>
              </w:rPr>
            </w:pPr>
            <w:r>
              <w:rPr>
                <w:rFonts w:hint="eastAsia" w:ascii="宋体" w:hAnsi="宋体" w:eastAsia="宋体" w:cs="宋体"/>
                <w:b/>
                <w:snapToGrid w:val="0"/>
                <w:color w:val="000000"/>
                <w:kern w:val="32"/>
                <w:sz w:val="24"/>
              </w:rPr>
              <w:t>奖励标准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1</w:t>
            </w:r>
          </w:p>
        </w:tc>
        <w:tc>
          <w:tcPr>
            <w:tcW w:w="1974"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单位内部充电设施</w:t>
            </w:r>
          </w:p>
        </w:tc>
        <w:tc>
          <w:tcPr>
            <w:tcW w:w="1880" w:type="dxa"/>
            <w:gridSpan w:val="2"/>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建设奖励</w:t>
            </w:r>
          </w:p>
        </w:tc>
        <w:tc>
          <w:tcPr>
            <w:tcW w:w="38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200元/千瓦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Merge w:val="continue"/>
            <w:vAlign w:val="center"/>
          </w:tcPr>
          <w:p>
            <w:pPr>
              <w:jc w:val="center"/>
              <w:rPr>
                <w:rFonts w:ascii="宋体" w:hAnsi="宋体" w:eastAsia="宋体" w:cs="宋体"/>
                <w:bCs/>
                <w:snapToGrid w:val="0"/>
                <w:color w:val="000000"/>
                <w:kern w:val="32"/>
                <w:sz w:val="24"/>
              </w:rPr>
            </w:pPr>
          </w:p>
        </w:tc>
        <w:tc>
          <w:tcPr>
            <w:tcW w:w="1974" w:type="dxa"/>
            <w:vMerge w:val="continue"/>
            <w:vAlign w:val="center"/>
          </w:tcPr>
          <w:p>
            <w:pPr>
              <w:jc w:val="center"/>
              <w:rPr>
                <w:rFonts w:ascii="宋体" w:hAnsi="宋体" w:eastAsia="宋体" w:cs="宋体"/>
                <w:bCs/>
                <w:snapToGrid w:val="0"/>
                <w:color w:val="000000"/>
                <w:kern w:val="32"/>
                <w:sz w:val="24"/>
              </w:rPr>
            </w:pPr>
          </w:p>
        </w:tc>
        <w:tc>
          <w:tcPr>
            <w:tcW w:w="1880" w:type="dxa"/>
            <w:gridSpan w:val="2"/>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开放奖励</w:t>
            </w:r>
          </w:p>
        </w:tc>
        <w:tc>
          <w:tcPr>
            <w:tcW w:w="38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100元/千瓦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86"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2</w:t>
            </w:r>
          </w:p>
        </w:tc>
        <w:tc>
          <w:tcPr>
            <w:tcW w:w="1974"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highlight w:val="none"/>
              </w:rPr>
              <w:t>“统建统服”</w:t>
            </w:r>
            <w:r>
              <w:rPr>
                <w:rFonts w:hint="eastAsia" w:ascii="宋体" w:hAnsi="宋体" w:eastAsia="宋体" w:cs="宋体"/>
                <w:bCs/>
                <w:snapToGrid w:val="0"/>
                <w:color w:val="000000"/>
                <w:kern w:val="32"/>
                <w:sz w:val="24"/>
                <w:highlight w:val="none"/>
                <w:u w:val="none"/>
              </w:rPr>
              <w:t>试点项目</w:t>
            </w:r>
          </w:p>
        </w:tc>
        <w:tc>
          <w:tcPr>
            <w:tcW w:w="1880" w:type="dxa"/>
            <w:gridSpan w:val="2"/>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建设奖励</w:t>
            </w:r>
          </w:p>
        </w:tc>
        <w:tc>
          <w:tcPr>
            <w:tcW w:w="3880" w:type="dxa"/>
            <w:vAlign w:val="center"/>
          </w:tcPr>
          <w:p>
            <w:pPr>
              <w:jc w:val="center"/>
              <w:rPr>
                <w:rFonts w:ascii="宋体" w:hAnsi="宋体" w:eastAsia="宋体" w:cs="宋体"/>
                <w:bCs/>
                <w:snapToGrid w:val="0"/>
                <w:color w:val="000000"/>
                <w:kern w:val="32"/>
                <w:sz w:val="24"/>
                <w:highlight w:val="none"/>
              </w:rPr>
            </w:pPr>
            <w:r>
              <w:rPr>
                <w:rFonts w:hint="eastAsia" w:ascii="宋体" w:hAnsi="宋体" w:eastAsia="宋体" w:cs="宋体"/>
                <w:bCs/>
                <w:snapToGrid w:val="0"/>
                <w:color w:val="000000"/>
                <w:kern w:val="32"/>
                <w:sz w:val="24"/>
                <w:highlight w:val="none"/>
                <w:u w:val="none"/>
              </w:rPr>
              <w:t>单桩功率</w:t>
            </w:r>
            <w:r>
              <w:rPr>
                <w:rFonts w:ascii="宋体" w:hAnsi="宋体" w:eastAsia="宋体" w:cs="宋体"/>
                <w:bCs/>
                <w:snapToGrid w:val="0"/>
                <w:color w:val="000000"/>
                <w:kern w:val="32"/>
                <w:sz w:val="24"/>
                <w:highlight w:val="none"/>
                <w:u w:val="none"/>
              </w:rPr>
              <w:t>60</w:t>
            </w:r>
            <w:r>
              <w:rPr>
                <w:rFonts w:hint="eastAsia" w:ascii="宋体" w:hAnsi="宋体" w:eastAsia="宋体" w:cs="宋体"/>
                <w:bCs/>
                <w:snapToGrid w:val="0"/>
                <w:color w:val="000000"/>
                <w:kern w:val="32"/>
                <w:sz w:val="24"/>
                <w:highlight w:val="none"/>
                <w:u w:val="none"/>
              </w:rPr>
              <w:t>千瓦</w:t>
            </w:r>
            <w:r>
              <w:rPr>
                <w:rFonts w:ascii="宋体" w:hAnsi="宋体" w:eastAsia="宋体" w:cs="宋体"/>
                <w:bCs/>
                <w:snapToGrid w:val="0"/>
                <w:color w:val="000000"/>
                <w:kern w:val="32"/>
                <w:sz w:val="24"/>
                <w:highlight w:val="none"/>
                <w:u w:val="none"/>
              </w:rPr>
              <w:t>以下</w:t>
            </w:r>
            <w:r>
              <w:rPr>
                <w:rFonts w:hint="eastAsia" w:ascii="宋体" w:hAnsi="宋体" w:eastAsia="宋体" w:cs="宋体"/>
                <w:bCs/>
                <w:snapToGrid w:val="0"/>
                <w:color w:val="000000"/>
                <w:kern w:val="32"/>
                <w:sz w:val="24"/>
                <w:highlight w:val="none"/>
                <w:u w:val="none"/>
              </w:rPr>
              <w:t>：6</w:t>
            </w:r>
            <w:r>
              <w:rPr>
                <w:rFonts w:ascii="宋体" w:hAnsi="宋体" w:eastAsia="宋体" w:cs="宋体"/>
                <w:bCs/>
                <w:snapToGrid w:val="0"/>
                <w:color w:val="000000"/>
                <w:kern w:val="32"/>
                <w:sz w:val="24"/>
                <w:highlight w:val="none"/>
                <w:u w:val="none"/>
              </w:rPr>
              <w:t>00元/</w:t>
            </w:r>
            <w:r>
              <w:rPr>
                <w:rFonts w:hint="eastAsia" w:ascii="宋体" w:hAnsi="宋体" w:eastAsia="宋体" w:cs="宋体"/>
                <w:bCs/>
                <w:snapToGrid w:val="0"/>
                <w:color w:val="000000"/>
                <w:kern w:val="32"/>
                <w:sz w:val="24"/>
                <w:highlight w:val="none"/>
                <w:u w:val="none"/>
              </w:rPr>
              <w:t>千</w:t>
            </w:r>
            <w:r>
              <w:rPr>
                <w:rFonts w:ascii="宋体" w:hAnsi="宋体" w:eastAsia="宋体" w:cs="宋体"/>
                <w:bCs/>
                <w:snapToGrid w:val="0"/>
                <w:color w:val="000000"/>
                <w:kern w:val="32"/>
                <w:sz w:val="24"/>
                <w:highlight w:val="none"/>
                <w:u w:val="none"/>
              </w:rPr>
              <w:t>瓦；单桩功率60</w:t>
            </w:r>
            <w:r>
              <w:rPr>
                <w:rFonts w:hint="eastAsia" w:ascii="宋体" w:hAnsi="宋体" w:eastAsia="宋体" w:cs="宋体"/>
                <w:bCs/>
                <w:snapToGrid w:val="0"/>
                <w:color w:val="000000"/>
                <w:kern w:val="32"/>
                <w:sz w:val="24"/>
                <w:highlight w:val="none"/>
                <w:u w:val="none"/>
              </w:rPr>
              <w:t>千瓦</w:t>
            </w:r>
            <w:r>
              <w:rPr>
                <w:rFonts w:ascii="宋体" w:hAnsi="宋体" w:eastAsia="宋体" w:cs="宋体"/>
                <w:bCs/>
                <w:snapToGrid w:val="0"/>
                <w:color w:val="000000"/>
                <w:kern w:val="32"/>
                <w:sz w:val="24"/>
                <w:highlight w:val="none"/>
                <w:u w:val="none"/>
              </w:rPr>
              <w:t>及以上</w:t>
            </w:r>
            <w:r>
              <w:rPr>
                <w:rFonts w:hint="eastAsia" w:ascii="宋体" w:hAnsi="宋体" w:eastAsia="宋体" w:cs="宋体"/>
                <w:bCs/>
                <w:snapToGrid w:val="0"/>
                <w:color w:val="000000"/>
                <w:kern w:val="32"/>
                <w:sz w:val="24"/>
                <w:highlight w:val="none"/>
                <w:u w:val="none"/>
              </w:rPr>
              <w:t>：</w:t>
            </w:r>
            <w:r>
              <w:rPr>
                <w:rFonts w:ascii="宋体" w:hAnsi="宋体" w:eastAsia="宋体" w:cs="宋体"/>
                <w:bCs/>
                <w:snapToGrid w:val="0"/>
                <w:color w:val="000000"/>
                <w:kern w:val="32"/>
                <w:sz w:val="24"/>
                <w:highlight w:val="none"/>
                <w:u w:val="none"/>
              </w:rPr>
              <w:t>1240元/</w:t>
            </w:r>
            <w:r>
              <w:rPr>
                <w:rFonts w:hint="eastAsia" w:ascii="宋体" w:hAnsi="宋体" w:eastAsia="宋体" w:cs="宋体"/>
                <w:bCs/>
                <w:snapToGrid w:val="0"/>
                <w:color w:val="000000"/>
                <w:kern w:val="32"/>
                <w:sz w:val="24"/>
                <w:highlight w:val="none"/>
                <w:u w:val="none"/>
              </w:rPr>
              <w:t>千</w:t>
            </w:r>
            <w:r>
              <w:rPr>
                <w:rFonts w:ascii="宋体" w:hAnsi="宋体" w:eastAsia="宋体" w:cs="宋体"/>
                <w:bCs/>
                <w:snapToGrid w:val="0"/>
                <w:color w:val="000000"/>
                <w:kern w:val="32"/>
                <w:sz w:val="24"/>
                <w:highlight w:val="none"/>
                <w:u w:val="none"/>
              </w:rPr>
              <w:t>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3</w:t>
            </w:r>
          </w:p>
        </w:tc>
        <w:tc>
          <w:tcPr>
            <w:tcW w:w="1974"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移动充电设施</w:t>
            </w:r>
          </w:p>
        </w:tc>
        <w:tc>
          <w:tcPr>
            <w:tcW w:w="1880" w:type="dxa"/>
            <w:gridSpan w:val="2"/>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投放奖励</w:t>
            </w:r>
          </w:p>
        </w:tc>
        <w:tc>
          <w:tcPr>
            <w:tcW w:w="38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2400元/台.月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4</w:t>
            </w:r>
          </w:p>
        </w:tc>
        <w:tc>
          <w:tcPr>
            <w:tcW w:w="1974"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公用充电设施（含居住区公用和社会公用）</w:t>
            </w:r>
          </w:p>
        </w:tc>
        <w:tc>
          <w:tcPr>
            <w:tcW w:w="700"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运营奖励</w:t>
            </w:r>
          </w:p>
        </w:tc>
        <w:tc>
          <w:tcPr>
            <w:tcW w:w="11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日常奖励</w:t>
            </w:r>
          </w:p>
        </w:tc>
        <w:tc>
          <w:tcPr>
            <w:tcW w:w="3880" w:type="dxa"/>
            <w:vAlign w:val="center"/>
          </w:tcPr>
          <w:p>
            <w:pPr>
              <w:jc w:val="center"/>
              <w:rPr>
                <w:rFonts w:ascii="宋体" w:hAnsi="宋体" w:eastAsia="宋体" w:cs="宋体"/>
                <w:bCs/>
                <w:snapToGrid w:val="0"/>
                <w:color w:val="000000"/>
                <w:kern w:val="32"/>
                <w:sz w:val="24"/>
                <w:highlight w:val="yellow"/>
              </w:rPr>
            </w:pPr>
            <w:r>
              <w:rPr>
                <w:rFonts w:hint="eastAsia" w:ascii="宋体" w:hAnsi="宋体" w:eastAsia="宋体" w:cs="宋体"/>
                <w:bCs/>
                <w:snapToGrid w:val="0"/>
                <w:color w:val="000000"/>
                <w:kern w:val="32"/>
                <w:sz w:val="24"/>
              </w:rPr>
              <w:t>充电量0.2元/度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Merge w:val="continue"/>
            <w:vAlign w:val="center"/>
          </w:tcPr>
          <w:p>
            <w:pPr>
              <w:jc w:val="center"/>
              <w:rPr>
                <w:rFonts w:ascii="宋体" w:hAnsi="宋体" w:eastAsia="宋体" w:cs="宋体"/>
                <w:bCs/>
                <w:snapToGrid w:val="0"/>
                <w:color w:val="000000"/>
                <w:kern w:val="32"/>
                <w:sz w:val="24"/>
              </w:rPr>
            </w:pPr>
          </w:p>
        </w:tc>
        <w:tc>
          <w:tcPr>
            <w:tcW w:w="1974" w:type="dxa"/>
            <w:vMerge w:val="continue"/>
            <w:vAlign w:val="center"/>
          </w:tcPr>
          <w:p>
            <w:pPr>
              <w:jc w:val="center"/>
              <w:rPr>
                <w:rFonts w:ascii="宋体" w:hAnsi="宋体" w:eastAsia="宋体" w:cs="宋体"/>
                <w:bCs/>
                <w:snapToGrid w:val="0"/>
                <w:color w:val="000000"/>
                <w:kern w:val="32"/>
                <w:sz w:val="24"/>
              </w:rPr>
            </w:pPr>
          </w:p>
        </w:tc>
        <w:tc>
          <w:tcPr>
            <w:tcW w:w="700" w:type="dxa"/>
            <w:vMerge w:val="continue"/>
            <w:vAlign w:val="center"/>
          </w:tcPr>
          <w:p>
            <w:pPr>
              <w:jc w:val="center"/>
              <w:rPr>
                <w:rFonts w:ascii="宋体" w:hAnsi="宋体" w:eastAsia="宋体" w:cs="宋体"/>
                <w:bCs/>
                <w:snapToGrid w:val="0"/>
                <w:color w:val="000000"/>
                <w:kern w:val="32"/>
                <w:sz w:val="24"/>
              </w:rPr>
            </w:pPr>
          </w:p>
        </w:tc>
        <w:tc>
          <w:tcPr>
            <w:tcW w:w="1180"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年度奖励</w:t>
            </w:r>
          </w:p>
        </w:tc>
        <w:tc>
          <w:tcPr>
            <w:tcW w:w="3880" w:type="dxa"/>
            <w:vAlign w:val="center"/>
          </w:tcPr>
          <w:p>
            <w:pPr>
              <w:jc w:val="center"/>
              <w:rPr>
                <w:rFonts w:ascii="宋体" w:hAnsi="宋体" w:eastAsia="宋体" w:cs="宋体"/>
                <w:bCs/>
                <w:snapToGrid w:val="0"/>
                <w:color w:val="000000"/>
                <w:kern w:val="32"/>
                <w:sz w:val="24"/>
                <w:highlight w:val="yellow"/>
              </w:rPr>
            </w:pPr>
            <w:r>
              <w:rPr>
                <w:rFonts w:hint="eastAsia" w:ascii="宋体" w:hAnsi="宋体" w:eastAsia="宋体" w:cs="宋体"/>
                <w:bCs/>
                <w:snapToGrid w:val="0"/>
                <w:kern w:val="32"/>
                <w:sz w:val="24"/>
              </w:rPr>
              <w:t>超充桩：A、B、C、D级分别为</w:t>
            </w:r>
            <w:r>
              <w:rPr>
                <w:rFonts w:hint="eastAsia" w:ascii="宋体" w:hAnsi="宋体" w:eastAsia="宋体" w:cs="宋体"/>
                <w:bCs/>
                <w:snapToGrid w:val="0"/>
                <w:kern w:val="32"/>
                <w:sz w:val="24"/>
                <w:u w:val="none"/>
              </w:rPr>
              <w:t>2</w:t>
            </w:r>
            <w:r>
              <w:rPr>
                <w:rFonts w:hint="eastAsia" w:ascii="宋体" w:hAnsi="宋体" w:eastAsia="宋体" w:cs="宋体"/>
                <w:bCs/>
                <w:snapToGrid w:val="0"/>
                <w:kern w:val="32"/>
                <w:sz w:val="24"/>
                <w:u w:val="none"/>
                <w:lang w:val="en-US" w:eastAsia="zh-CN"/>
              </w:rPr>
              <w:t>16</w:t>
            </w:r>
            <w:r>
              <w:rPr>
                <w:rFonts w:hint="eastAsia" w:ascii="宋体" w:hAnsi="宋体" w:eastAsia="宋体" w:cs="宋体"/>
                <w:bCs/>
                <w:snapToGrid w:val="0"/>
                <w:kern w:val="32"/>
                <w:sz w:val="24"/>
                <w:u w:val="none"/>
              </w:rPr>
              <w:t>、18</w:t>
            </w:r>
            <w:r>
              <w:rPr>
                <w:rFonts w:hint="eastAsia" w:ascii="宋体" w:hAnsi="宋体" w:eastAsia="宋体" w:cs="宋体"/>
                <w:bCs/>
                <w:snapToGrid w:val="0"/>
                <w:kern w:val="32"/>
                <w:sz w:val="24"/>
                <w:u w:val="none"/>
                <w:lang w:val="en-US" w:eastAsia="zh-CN"/>
              </w:rPr>
              <w:t>3</w:t>
            </w:r>
            <w:r>
              <w:rPr>
                <w:rFonts w:hint="eastAsia" w:ascii="宋体" w:hAnsi="宋体" w:eastAsia="宋体" w:cs="宋体"/>
                <w:bCs/>
                <w:snapToGrid w:val="0"/>
                <w:kern w:val="32"/>
                <w:sz w:val="24"/>
                <w:u w:val="none"/>
              </w:rPr>
              <w:t>、1</w:t>
            </w:r>
            <w:r>
              <w:rPr>
                <w:rFonts w:hint="eastAsia" w:ascii="宋体" w:hAnsi="宋体" w:eastAsia="宋体" w:cs="宋体"/>
                <w:bCs/>
                <w:snapToGrid w:val="0"/>
                <w:kern w:val="32"/>
                <w:sz w:val="24"/>
                <w:u w:val="none"/>
                <w:lang w:val="en-US" w:eastAsia="zh-CN"/>
              </w:rPr>
              <w:t>51</w:t>
            </w:r>
            <w:r>
              <w:rPr>
                <w:rFonts w:hint="eastAsia" w:ascii="宋体" w:hAnsi="宋体" w:eastAsia="宋体" w:cs="宋体"/>
                <w:bCs/>
                <w:snapToGrid w:val="0"/>
                <w:kern w:val="32"/>
                <w:sz w:val="24"/>
                <w:u w:val="none"/>
              </w:rPr>
              <w:t>、0</w:t>
            </w:r>
            <w:r>
              <w:rPr>
                <w:rFonts w:hint="eastAsia" w:ascii="宋体" w:hAnsi="宋体" w:eastAsia="宋体" w:cs="宋体"/>
                <w:bCs/>
                <w:snapToGrid w:val="0"/>
                <w:kern w:val="32"/>
                <w:sz w:val="24"/>
              </w:rPr>
              <w:t>元/千瓦·年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86" w:type="dxa"/>
            <w:vMerge w:val="continue"/>
            <w:vAlign w:val="center"/>
          </w:tcPr>
          <w:p>
            <w:pPr>
              <w:jc w:val="center"/>
              <w:rPr>
                <w:rFonts w:ascii="宋体" w:hAnsi="宋体" w:eastAsia="宋体" w:cs="宋体"/>
                <w:bCs/>
                <w:snapToGrid w:val="0"/>
                <w:color w:val="000000"/>
                <w:kern w:val="32"/>
                <w:sz w:val="24"/>
              </w:rPr>
            </w:pPr>
          </w:p>
        </w:tc>
        <w:tc>
          <w:tcPr>
            <w:tcW w:w="1974" w:type="dxa"/>
            <w:vMerge w:val="continue"/>
            <w:vAlign w:val="center"/>
          </w:tcPr>
          <w:p>
            <w:pPr>
              <w:jc w:val="center"/>
              <w:rPr>
                <w:rFonts w:ascii="宋体" w:hAnsi="宋体" w:eastAsia="宋体" w:cs="宋体"/>
                <w:bCs/>
                <w:snapToGrid w:val="0"/>
                <w:color w:val="000000"/>
                <w:kern w:val="32"/>
                <w:sz w:val="24"/>
              </w:rPr>
            </w:pPr>
          </w:p>
        </w:tc>
        <w:tc>
          <w:tcPr>
            <w:tcW w:w="700" w:type="dxa"/>
            <w:vMerge w:val="continue"/>
            <w:vAlign w:val="center"/>
          </w:tcPr>
          <w:p>
            <w:pPr>
              <w:jc w:val="center"/>
              <w:rPr>
                <w:rFonts w:ascii="宋体" w:hAnsi="宋体" w:eastAsia="宋体" w:cs="宋体"/>
                <w:bCs/>
                <w:snapToGrid w:val="0"/>
                <w:color w:val="000000"/>
                <w:kern w:val="32"/>
                <w:sz w:val="24"/>
              </w:rPr>
            </w:pPr>
          </w:p>
        </w:tc>
        <w:tc>
          <w:tcPr>
            <w:tcW w:w="1180" w:type="dxa"/>
            <w:vMerge w:val="continue"/>
            <w:vAlign w:val="center"/>
          </w:tcPr>
          <w:p>
            <w:pPr>
              <w:jc w:val="center"/>
              <w:rPr>
                <w:rFonts w:ascii="宋体" w:hAnsi="宋体" w:eastAsia="宋体" w:cs="宋体"/>
                <w:bCs/>
                <w:snapToGrid w:val="0"/>
                <w:color w:val="000000"/>
                <w:kern w:val="32"/>
                <w:sz w:val="24"/>
              </w:rPr>
            </w:pPr>
          </w:p>
        </w:tc>
        <w:tc>
          <w:tcPr>
            <w:tcW w:w="3880" w:type="dxa"/>
            <w:vAlign w:val="center"/>
          </w:tcPr>
          <w:p>
            <w:pPr>
              <w:jc w:val="center"/>
              <w:rPr>
                <w:rFonts w:ascii="宋体" w:hAnsi="宋体" w:eastAsia="宋体" w:cs="宋体"/>
                <w:bCs/>
                <w:snapToGrid w:val="0"/>
                <w:color w:val="000000"/>
                <w:kern w:val="32"/>
                <w:sz w:val="24"/>
                <w:highlight w:val="yellow"/>
              </w:rPr>
            </w:pPr>
            <w:r>
              <w:rPr>
                <w:rFonts w:hint="eastAsia" w:ascii="宋体" w:hAnsi="宋体" w:eastAsia="宋体" w:cs="宋体"/>
                <w:bCs/>
                <w:snapToGrid w:val="0"/>
                <w:color w:val="000000"/>
                <w:kern w:val="32"/>
                <w:sz w:val="24"/>
              </w:rPr>
              <w:t>快充桩：A、B、C、D级分别为106、90、74、0元/千瓦·年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Merge w:val="continue"/>
            <w:vAlign w:val="center"/>
          </w:tcPr>
          <w:p>
            <w:pPr>
              <w:jc w:val="center"/>
              <w:rPr>
                <w:rFonts w:ascii="宋体" w:hAnsi="宋体" w:eastAsia="宋体" w:cs="宋体"/>
                <w:bCs/>
                <w:snapToGrid w:val="0"/>
                <w:color w:val="000000"/>
                <w:kern w:val="32"/>
                <w:sz w:val="24"/>
              </w:rPr>
            </w:pPr>
          </w:p>
        </w:tc>
        <w:tc>
          <w:tcPr>
            <w:tcW w:w="1974" w:type="dxa"/>
            <w:vMerge w:val="continue"/>
            <w:vAlign w:val="center"/>
          </w:tcPr>
          <w:p>
            <w:pPr>
              <w:jc w:val="center"/>
              <w:rPr>
                <w:rFonts w:ascii="宋体" w:hAnsi="宋体" w:eastAsia="宋体" w:cs="宋体"/>
                <w:bCs/>
                <w:snapToGrid w:val="0"/>
                <w:color w:val="000000"/>
                <w:kern w:val="32"/>
                <w:sz w:val="24"/>
              </w:rPr>
            </w:pPr>
          </w:p>
        </w:tc>
        <w:tc>
          <w:tcPr>
            <w:tcW w:w="700" w:type="dxa"/>
            <w:vMerge w:val="continue"/>
            <w:vAlign w:val="center"/>
          </w:tcPr>
          <w:p>
            <w:pPr>
              <w:jc w:val="center"/>
              <w:rPr>
                <w:rFonts w:ascii="宋体" w:hAnsi="宋体" w:eastAsia="宋体" w:cs="宋体"/>
                <w:bCs/>
                <w:snapToGrid w:val="0"/>
                <w:color w:val="000000"/>
                <w:kern w:val="32"/>
                <w:sz w:val="24"/>
              </w:rPr>
            </w:pPr>
          </w:p>
        </w:tc>
        <w:tc>
          <w:tcPr>
            <w:tcW w:w="1180" w:type="dxa"/>
            <w:vMerge w:val="continue"/>
            <w:vAlign w:val="center"/>
          </w:tcPr>
          <w:p>
            <w:pPr>
              <w:jc w:val="center"/>
              <w:rPr>
                <w:rFonts w:ascii="宋体" w:hAnsi="宋体" w:eastAsia="宋体" w:cs="宋体"/>
                <w:bCs/>
                <w:snapToGrid w:val="0"/>
                <w:color w:val="000000"/>
                <w:kern w:val="32"/>
                <w:sz w:val="24"/>
              </w:rPr>
            </w:pPr>
          </w:p>
        </w:tc>
        <w:tc>
          <w:tcPr>
            <w:tcW w:w="3880" w:type="dxa"/>
            <w:vAlign w:val="center"/>
          </w:tcPr>
          <w:p>
            <w:pPr>
              <w:jc w:val="center"/>
              <w:rPr>
                <w:rFonts w:ascii="宋体" w:hAnsi="宋体" w:eastAsia="宋体" w:cs="宋体"/>
                <w:bCs/>
                <w:snapToGrid w:val="0"/>
                <w:color w:val="000000"/>
                <w:kern w:val="32"/>
                <w:sz w:val="24"/>
                <w:highlight w:val="yellow"/>
              </w:rPr>
            </w:pPr>
            <w:r>
              <w:rPr>
                <w:rFonts w:hint="eastAsia" w:ascii="宋体" w:hAnsi="宋体" w:eastAsia="宋体" w:cs="宋体"/>
                <w:bCs/>
                <w:snapToGrid w:val="0"/>
                <w:color w:val="000000"/>
                <w:kern w:val="32"/>
                <w:sz w:val="24"/>
              </w:rPr>
              <w:t>慢充桩：A、B、C、D级分别为</w:t>
            </w:r>
            <w:r>
              <w:rPr>
                <w:rFonts w:hint="eastAsia" w:ascii="宋体" w:hAnsi="宋体" w:eastAsia="宋体" w:cs="宋体"/>
                <w:bCs/>
                <w:snapToGrid w:val="0"/>
                <w:color w:val="000000"/>
                <w:kern w:val="32"/>
                <w:sz w:val="24"/>
                <w:u w:val="none"/>
                <w:lang w:val="en-US" w:eastAsia="zh-CN"/>
              </w:rPr>
              <w:t>75</w:t>
            </w:r>
            <w:r>
              <w:rPr>
                <w:rFonts w:hint="eastAsia" w:ascii="宋体" w:hAnsi="宋体" w:eastAsia="宋体" w:cs="宋体"/>
                <w:bCs/>
                <w:snapToGrid w:val="0"/>
                <w:color w:val="000000"/>
                <w:kern w:val="32"/>
                <w:sz w:val="24"/>
                <w:u w:val="none"/>
              </w:rPr>
              <w:t>、</w:t>
            </w:r>
            <w:r>
              <w:rPr>
                <w:rFonts w:hint="eastAsia" w:ascii="宋体" w:hAnsi="宋体" w:eastAsia="宋体" w:cs="宋体"/>
                <w:bCs/>
                <w:snapToGrid w:val="0"/>
                <w:color w:val="000000"/>
                <w:kern w:val="32"/>
                <w:sz w:val="24"/>
                <w:u w:val="none"/>
                <w:lang w:val="en-US" w:eastAsia="zh-CN"/>
              </w:rPr>
              <w:t>63</w:t>
            </w:r>
            <w:r>
              <w:rPr>
                <w:rFonts w:hint="eastAsia" w:ascii="宋体" w:hAnsi="宋体" w:eastAsia="宋体" w:cs="宋体"/>
                <w:bCs/>
                <w:snapToGrid w:val="0"/>
                <w:color w:val="000000"/>
                <w:kern w:val="32"/>
                <w:sz w:val="24"/>
                <w:u w:val="none"/>
              </w:rPr>
              <w:t>、</w:t>
            </w:r>
            <w:r>
              <w:rPr>
                <w:rFonts w:hint="eastAsia" w:ascii="宋体" w:hAnsi="宋体" w:eastAsia="宋体" w:cs="宋体"/>
                <w:bCs/>
                <w:snapToGrid w:val="0"/>
                <w:color w:val="000000"/>
                <w:kern w:val="32"/>
                <w:sz w:val="24"/>
                <w:u w:val="none"/>
                <w:lang w:val="en-US" w:eastAsia="zh-CN"/>
              </w:rPr>
              <w:t>52</w:t>
            </w:r>
            <w:r>
              <w:rPr>
                <w:rFonts w:hint="eastAsia" w:ascii="宋体" w:hAnsi="宋体" w:eastAsia="宋体" w:cs="宋体"/>
                <w:bCs/>
                <w:snapToGrid w:val="0"/>
                <w:color w:val="000000"/>
                <w:kern w:val="32"/>
                <w:sz w:val="24"/>
                <w:u w:val="none"/>
              </w:rPr>
              <w:t>、0</w:t>
            </w:r>
            <w:r>
              <w:rPr>
                <w:rFonts w:hint="eastAsia" w:ascii="宋体" w:hAnsi="宋体" w:eastAsia="宋体" w:cs="宋体"/>
                <w:bCs/>
                <w:snapToGrid w:val="0"/>
                <w:color w:val="000000"/>
                <w:kern w:val="32"/>
                <w:sz w:val="24"/>
              </w:rPr>
              <w:t>元/千瓦·年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5</w:t>
            </w:r>
          </w:p>
        </w:tc>
        <w:tc>
          <w:tcPr>
            <w:tcW w:w="1974"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充电精品示范区</w:t>
            </w:r>
          </w:p>
        </w:tc>
        <w:tc>
          <w:tcPr>
            <w:tcW w:w="700"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运营奖励</w:t>
            </w:r>
          </w:p>
        </w:tc>
        <w:tc>
          <w:tcPr>
            <w:tcW w:w="11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年度奖励</w:t>
            </w:r>
          </w:p>
        </w:tc>
        <w:tc>
          <w:tcPr>
            <w:tcW w:w="3880" w:type="dxa"/>
            <w:vAlign w:val="center"/>
          </w:tcPr>
          <w:p>
            <w:pPr>
              <w:jc w:val="center"/>
              <w:rPr>
                <w:rFonts w:ascii="宋体" w:hAnsi="宋体" w:eastAsia="宋体" w:cs="宋体"/>
                <w:bCs/>
                <w:snapToGrid w:val="0"/>
                <w:color w:val="FF0000"/>
                <w:kern w:val="32"/>
                <w:sz w:val="24"/>
                <w:highlight w:val="yellow"/>
              </w:rPr>
            </w:pPr>
            <w:r>
              <w:rPr>
                <w:rFonts w:hint="eastAsia" w:ascii="宋体" w:hAnsi="宋体" w:eastAsia="宋体" w:cs="宋体"/>
                <w:bCs/>
                <w:snapToGrid w:val="0"/>
                <w:kern w:val="32"/>
                <w:sz w:val="24"/>
              </w:rPr>
              <w:t>16</w:t>
            </w:r>
            <w:r>
              <w:rPr>
                <w:rFonts w:ascii="宋体" w:hAnsi="宋体" w:eastAsia="宋体" w:cs="宋体"/>
                <w:bCs/>
                <w:snapToGrid w:val="0"/>
                <w:kern w:val="32"/>
                <w:sz w:val="24"/>
              </w:rPr>
              <w:t>6</w:t>
            </w:r>
            <w:r>
              <w:rPr>
                <w:rFonts w:hint="eastAsia" w:ascii="宋体" w:hAnsi="宋体" w:eastAsia="宋体" w:cs="宋体"/>
                <w:bCs/>
                <w:snapToGrid w:val="0"/>
                <w:kern w:val="32"/>
                <w:sz w:val="24"/>
              </w:rPr>
              <w:t>元/千瓦·年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Merge w:val="continue"/>
            <w:vAlign w:val="center"/>
          </w:tcPr>
          <w:p>
            <w:pPr>
              <w:jc w:val="center"/>
              <w:rPr>
                <w:rFonts w:ascii="宋体" w:hAnsi="宋体" w:eastAsia="宋体" w:cs="宋体"/>
                <w:bCs/>
                <w:snapToGrid w:val="0"/>
                <w:color w:val="000000"/>
                <w:kern w:val="32"/>
                <w:sz w:val="24"/>
              </w:rPr>
            </w:pPr>
          </w:p>
        </w:tc>
        <w:tc>
          <w:tcPr>
            <w:tcW w:w="1974" w:type="dxa"/>
            <w:vMerge w:val="continue"/>
            <w:vAlign w:val="center"/>
          </w:tcPr>
          <w:p>
            <w:pPr>
              <w:jc w:val="center"/>
              <w:rPr>
                <w:rFonts w:ascii="宋体" w:hAnsi="宋体" w:eastAsia="宋体" w:cs="宋体"/>
                <w:bCs/>
                <w:snapToGrid w:val="0"/>
                <w:color w:val="000000"/>
                <w:kern w:val="32"/>
                <w:sz w:val="24"/>
              </w:rPr>
            </w:pPr>
          </w:p>
        </w:tc>
        <w:tc>
          <w:tcPr>
            <w:tcW w:w="700" w:type="dxa"/>
            <w:vMerge w:val="continue"/>
            <w:vAlign w:val="center"/>
          </w:tcPr>
          <w:p>
            <w:pPr>
              <w:jc w:val="center"/>
              <w:rPr>
                <w:rFonts w:ascii="宋体" w:hAnsi="宋体" w:eastAsia="宋体" w:cs="宋体"/>
                <w:bCs/>
                <w:snapToGrid w:val="0"/>
                <w:color w:val="000000"/>
                <w:kern w:val="32"/>
                <w:sz w:val="24"/>
              </w:rPr>
            </w:pPr>
          </w:p>
        </w:tc>
        <w:tc>
          <w:tcPr>
            <w:tcW w:w="11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日常奖励</w:t>
            </w:r>
          </w:p>
        </w:tc>
        <w:tc>
          <w:tcPr>
            <w:tcW w:w="3880" w:type="dxa"/>
            <w:vAlign w:val="center"/>
          </w:tcPr>
          <w:p>
            <w:pPr>
              <w:jc w:val="center"/>
              <w:rPr>
                <w:rFonts w:ascii="宋体" w:hAnsi="宋体" w:eastAsia="宋体" w:cs="宋体"/>
                <w:bCs/>
                <w:snapToGrid w:val="0"/>
                <w:color w:val="000000"/>
                <w:kern w:val="32"/>
                <w:sz w:val="24"/>
                <w:highlight w:val="yellow"/>
              </w:rPr>
            </w:pPr>
            <w:r>
              <w:rPr>
                <w:rFonts w:hint="eastAsia" w:ascii="宋体" w:hAnsi="宋体" w:eastAsia="宋体" w:cs="宋体"/>
                <w:bCs/>
                <w:snapToGrid w:val="0"/>
                <w:color w:val="000000"/>
                <w:kern w:val="32"/>
                <w:sz w:val="24"/>
              </w:rPr>
              <w:t>充电量0.2元/度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6</w:t>
            </w:r>
          </w:p>
        </w:tc>
        <w:tc>
          <w:tcPr>
            <w:tcW w:w="1974"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2022年5月31日之前建成的换电设施</w:t>
            </w:r>
          </w:p>
        </w:tc>
        <w:tc>
          <w:tcPr>
            <w:tcW w:w="700" w:type="dxa"/>
            <w:vMerge w:val="restart"/>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运营奖励</w:t>
            </w:r>
          </w:p>
        </w:tc>
        <w:tc>
          <w:tcPr>
            <w:tcW w:w="1180" w:type="dxa"/>
            <w:vAlign w:val="center"/>
          </w:tcPr>
          <w:p>
            <w:pPr>
              <w:jc w:val="center"/>
              <w:rPr>
                <w:rFonts w:hint="eastAsia" w:ascii="宋体" w:hAnsi="宋体" w:eastAsia="宋体" w:cs="宋体"/>
                <w:bCs/>
                <w:snapToGrid w:val="0"/>
                <w:color w:val="000000"/>
                <w:kern w:val="32"/>
                <w:sz w:val="24"/>
                <w:lang w:eastAsia="zh-CN"/>
              </w:rPr>
            </w:pPr>
            <w:r>
              <w:rPr>
                <w:rFonts w:hint="eastAsia" w:ascii="宋体" w:hAnsi="宋体" w:eastAsia="宋体" w:cs="宋体"/>
                <w:bCs/>
                <w:snapToGrid w:val="0"/>
                <w:color w:val="000000"/>
                <w:kern w:val="32"/>
                <w:sz w:val="24"/>
                <w:lang w:eastAsia="zh-CN"/>
              </w:rPr>
              <w:t>年度奖励</w:t>
            </w:r>
          </w:p>
        </w:tc>
        <w:tc>
          <w:tcPr>
            <w:tcW w:w="38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A、B、C、D级分别为106、90、74、0元/千瓦·年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Merge w:val="continue"/>
            <w:vAlign w:val="center"/>
          </w:tcPr>
          <w:p>
            <w:pPr>
              <w:jc w:val="center"/>
              <w:rPr>
                <w:rFonts w:ascii="宋体" w:hAnsi="宋体" w:eastAsia="宋体" w:cs="宋体"/>
                <w:bCs/>
                <w:snapToGrid w:val="0"/>
                <w:color w:val="000000"/>
                <w:kern w:val="32"/>
                <w:sz w:val="24"/>
              </w:rPr>
            </w:pPr>
          </w:p>
        </w:tc>
        <w:tc>
          <w:tcPr>
            <w:tcW w:w="1974" w:type="dxa"/>
            <w:vMerge w:val="continue"/>
            <w:vAlign w:val="center"/>
          </w:tcPr>
          <w:p>
            <w:pPr>
              <w:jc w:val="center"/>
              <w:rPr>
                <w:rFonts w:ascii="宋体" w:hAnsi="宋体" w:eastAsia="宋体" w:cs="宋体"/>
                <w:bCs/>
                <w:snapToGrid w:val="0"/>
                <w:color w:val="000000"/>
                <w:kern w:val="32"/>
                <w:sz w:val="24"/>
              </w:rPr>
            </w:pPr>
          </w:p>
        </w:tc>
        <w:tc>
          <w:tcPr>
            <w:tcW w:w="700" w:type="dxa"/>
            <w:vMerge w:val="continue"/>
            <w:vAlign w:val="center"/>
          </w:tcPr>
          <w:p>
            <w:pPr>
              <w:jc w:val="center"/>
              <w:rPr>
                <w:rFonts w:ascii="宋体" w:hAnsi="宋体" w:eastAsia="宋体" w:cs="宋体"/>
                <w:bCs/>
                <w:snapToGrid w:val="0"/>
                <w:color w:val="000000"/>
                <w:kern w:val="32"/>
                <w:sz w:val="24"/>
              </w:rPr>
            </w:pPr>
          </w:p>
        </w:tc>
        <w:tc>
          <w:tcPr>
            <w:tcW w:w="11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日常奖励</w:t>
            </w:r>
          </w:p>
        </w:tc>
        <w:tc>
          <w:tcPr>
            <w:tcW w:w="38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换电量0.2元/度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Merge w:val="continue"/>
            <w:vAlign w:val="center"/>
          </w:tcPr>
          <w:p>
            <w:pPr>
              <w:jc w:val="center"/>
              <w:rPr>
                <w:rFonts w:ascii="宋体" w:hAnsi="宋体" w:eastAsia="宋体" w:cs="宋体"/>
                <w:bCs/>
                <w:snapToGrid w:val="0"/>
                <w:color w:val="000000"/>
                <w:kern w:val="32"/>
                <w:sz w:val="24"/>
              </w:rPr>
            </w:pPr>
          </w:p>
        </w:tc>
        <w:tc>
          <w:tcPr>
            <w:tcW w:w="1974"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2022年6月1日-2023年7月31日期间建成的换电设施</w:t>
            </w:r>
          </w:p>
        </w:tc>
        <w:tc>
          <w:tcPr>
            <w:tcW w:w="1880" w:type="dxa"/>
            <w:gridSpan w:val="2"/>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建设奖励</w:t>
            </w:r>
          </w:p>
        </w:tc>
        <w:tc>
          <w:tcPr>
            <w:tcW w:w="38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107</w:t>
            </w:r>
            <w:r>
              <w:rPr>
                <w:rFonts w:hint="eastAsia" w:ascii="宋体" w:hAnsi="宋体" w:eastAsia="宋体" w:cs="宋体"/>
                <w:bCs/>
                <w:snapToGrid w:val="0"/>
                <w:color w:val="000000"/>
                <w:kern w:val="32"/>
                <w:sz w:val="24"/>
                <w:lang w:val="en-US" w:eastAsia="zh-CN"/>
              </w:rPr>
              <w:t>4</w:t>
            </w:r>
            <w:r>
              <w:rPr>
                <w:rFonts w:hint="eastAsia" w:ascii="宋体" w:hAnsi="宋体" w:eastAsia="宋体" w:cs="宋体"/>
                <w:bCs/>
                <w:snapToGrid w:val="0"/>
                <w:color w:val="000000"/>
                <w:kern w:val="32"/>
                <w:sz w:val="24"/>
              </w:rPr>
              <w:t>元/千瓦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6"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7</w:t>
            </w:r>
          </w:p>
        </w:tc>
        <w:tc>
          <w:tcPr>
            <w:tcW w:w="1974"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V2G、光（储）充、有序充电桩等示范充电站（桩）</w:t>
            </w:r>
          </w:p>
        </w:tc>
        <w:tc>
          <w:tcPr>
            <w:tcW w:w="1880" w:type="dxa"/>
            <w:gridSpan w:val="2"/>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建设奖励（不含公交等专用桩、社会公用充电桩）</w:t>
            </w:r>
          </w:p>
        </w:tc>
        <w:tc>
          <w:tcPr>
            <w:tcW w:w="3880" w:type="dxa"/>
            <w:vAlign w:val="center"/>
          </w:tcPr>
          <w:p>
            <w:pPr>
              <w:jc w:val="center"/>
              <w:rPr>
                <w:rFonts w:ascii="宋体" w:hAnsi="宋体" w:eastAsia="宋体" w:cs="宋体"/>
                <w:bCs/>
                <w:snapToGrid w:val="0"/>
                <w:color w:val="000000"/>
                <w:kern w:val="32"/>
                <w:sz w:val="24"/>
              </w:rPr>
            </w:pPr>
            <w:r>
              <w:rPr>
                <w:rFonts w:hint="eastAsia" w:ascii="宋体" w:hAnsi="宋体" w:eastAsia="宋体" w:cs="宋体"/>
                <w:bCs/>
                <w:snapToGrid w:val="0"/>
                <w:color w:val="000000"/>
                <w:kern w:val="32"/>
                <w:sz w:val="24"/>
              </w:rPr>
              <w:t>300元/千瓦</w:t>
            </w:r>
          </w:p>
        </w:tc>
      </w:tr>
    </w:tbl>
    <w:p/>
    <w:p>
      <w:pPr>
        <w:keepNext/>
        <w:keepLines/>
        <w:spacing w:line="560" w:lineRule="exact"/>
        <w:ind w:firstLine="640" w:firstLineChars="200"/>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二、实施方式</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我委委托第三方机构作为项目管理单位，由项目管理单位组织开展充换电设施建设运营奖励项目</w:t>
      </w:r>
      <w:r>
        <w:rPr>
          <w:rFonts w:ascii="仿宋_GB2312" w:hAnsi="宋体" w:eastAsia="仿宋_GB2312" w:cs="宋体"/>
          <w:bCs/>
          <w:snapToGrid w:val="0"/>
          <w:color w:val="000000"/>
          <w:kern w:val="32"/>
          <w:sz w:val="32"/>
          <w:szCs w:val="32"/>
        </w:rPr>
        <w:t>的</w:t>
      </w:r>
      <w:r>
        <w:rPr>
          <w:rFonts w:hint="eastAsia" w:ascii="仿宋_GB2312" w:hAnsi="宋体" w:eastAsia="仿宋_GB2312" w:cs="宋体"/>
          <w:bCs/>
          <w:snapToGrid w:val="0"/>
          <w:color w:val="000000"/>
          <w:kern w:val="32"/>
          <w:sz w:val="32"/>
          <w:szCs w:val="32"/>
        </w:rPr>
        <w:t>申报、核查、</w:t>
      </w:r>
      <w:r>
        <w:rPr>
          <w:rFonts w:ascii="仿宋_GB2312" w:hAnsi="宋体" w:eastAsia="仿宋_GB2312" w:cs="宋体"/>
          <w:bCs/>
          <w:snapToGrid w:val="0"/>
          <w:color w:val="000000"/>
          <w:kern w:val="32"/>
          <w:sz w:val="32"/>
          <w:szCs w:val="32"/>
        </w:rPr>
        <w:t>评价</w:t>
      </w:r>
      <w:r>
        <w:rPr>
          <w:rFonts w:hint="eastAsia" w:ascii="仿宋_GB2312" w:hAnsi="宋体" w:eastAsia="仿宋_GB2312" w:cs="宋体"/>
          <w:bCs/>
          <w:snapToGrid w:val="0"/>
          <w:color w:val="000000"/>
          <w:kern w:val="32"/>
          <w:sz w:val="32"/>
          <w:szCs w:val="32"/>
        </w:rPr>
        <w:t>及评审工作。</w:t>
      </w:r>
    </w:p>
    <w:p>
      <w:pPr>
        <w:keepNext/>
        <w:keepLines/>
        <w:spacing w:line="560" w:lineRule="exact"/>
        <w:ind w:firstLine="640" w:firstLineChars="200"/>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三、申报条件</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（一）申报单位营业执照的经营范围中含有电动汽车充换电设施建设运营</w:t>
      </w:r>
      <w:r>
        <w:rPr>
          <w:rFonts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lang w:eastAsia="zh-Hans"/>
        </w:rPr>
        <w:t>机动车充电销售</w:t>
      </w:r>
      <w:r>
        <w:rPr>
          <w:rFonts w:hint="eastAsia" w:ascii="仿宋_GB2312" w:hAnsi="宋体" w:eastAsia="仿宋_GB2312" w:cs="宋体"/>
          <w:bCs/>
          <w:snapToGrid w:val="0"/>
          <w:color w:val="000000"/>
          <w:kern w:val="32"/>
          <w:sz w:val="32"/>
          <w:szCs w:val="32"/>
        </w:rPr>
        <w:t>等相关内容。</w:t>
      </w:r>
    </w:p>
    <w:p>
      <w:pPr>
        <w:spacing w:line="560" w:lineRule="exact"/>
        <w:ind w:firstLine="640" w:firstLineChars="200"/>
        <w:rPr>
          <w:rFonts w:ascii="仿宋_GB2312" w:hAnsi="宋体" w:eastAsia="仿宋_GB2312" w:cs="宋体"/>
          <w:bCs/>
          <w:snapToGrid w:val="0"/>
          <w:color w:val="000000"/>
          <w:kern w:val="32"/>
          <w:sz w:val="32"/>
          <w:szCs w:val="32"/>
          <w:u w:val="none"/>
        </w:rPr>
      </w:pPr>
      <w:r>
        <w:rPr>
          <w:rFonts w:hint="eastAsia" w:ascii="仿宋_GB2312" w:hAnsi="宋体" w:eastAsia="仿宋_GB2312" w:cs="宋体"/>
          <w:bCs/>
          <w:snapToGrid w:val="0"/>
          <w:color w:val="000000"/>
          <w:kern w:val="32"/>
          <w:sz w:val="32"/>
          <w:szCs w:val="32"/>
        </w:rPr>
        <w:t>（二）申报单位</w:t>
      </w:r>
      <w:r>
        <w:rPr>
          <w:rFonts w:ascii="仿宋_GB2312" w:hAnsi="宋体" w:eastAsia="仿宋_GB2312" w:cs="宋体"/>
          <w:bCs/>
          <w:snapToGrid w:val="0"/>
          <w:color w:val="000000"/>
          <w:kern w:val="32"/>
          <w:sz w:val="32"/>
          <w:szCs w:val="32"/>
        </w:rPr>
        <w:t>须建立</w:t>
      </w:r>
      <w:r>
        <w:rPr>
          <w:rFonts w:hint="eastAsia" w:ascii="仿宋_GB2312" w:hAnsi="宋体" w:eastAsia="仿宋_GB2312" w:cs="宋体"/>
          <w:bCs/>
          <w:snapToGrid w:val="0"/>
          <w:color w:val="000000"/>
          <w:kern w:val="32"/>
          <w:sz w:val="32"/>
          <w:szCs w:val="32"/>
        </w:rPr>
        <w:t>充换电设施</w:t>
      </w:r>
      <w:r>
        <w:rPr>
          <w:rFonts w:ascii="仿宋_GB2312" w:hAnsi="宋体" w:eastAsia="仿宋_GB2312" w:cs="宋体"/>
          <w:bCs/>
          <w:snapToGrid w:val="0"/>
          <w:color w:val="000000"/>
          <w:kern w:val="32"/>
          <w:sz w:val="32"/>
          <w:szCs w:val="32"/>
        </w:rPr>
        <w:t>安全</w:t>
      </w:r>
      <w:r>
        <w:rPr>
          <w:rFonts w:hint="eastAsia" w:ascii="仿宋_GB2312" w:hAnsi="宋体" w:eastAsia="仿宋_GB2312" w:cs="宋体"/>
          <w:bCs/>
          <w:snapToGrid w:val="0"/>
          <w:color w:val="000000"/>
          <w:kern w:val="32"/>
          <w:sz w:val="32"/>
          <w:szCs w:val="32"/>
        </w:rPr>
        <w:t>生产管理制度，运维团队</w:t>
      </w:r>
      <w:r>
        <w:rPr>
          <w:rFonts w:hint="eastAsia" w:ascii="仿宋_GB2312" w:hAnsi="宋体" w:eastAsia="仿宋_GB2312" w:cs="宋体"/>
          <w:bCs/>
          <w:snapToGrid w:val="0"/>
          <w:color w:val="000000"/>
          <w:kern w:val="32"/>
          <w:sz w:val="32"/>
          <w:szCs w:val="32"/>
          <w:u w:val="none"/>
          <w:lang w:eastAsia="zh-CN"/>
        </w:rPr>
        <w:t>（</w:t>
      </w:r>
      <w:r>
        <w:rPr>
          <w:rFonts w:hint="eastAsia" w:ascii="仿宋_GB2312" w:hAnsi="宋体" w:eastAsia="仿宋_GB2312" w:cs="宋体"/>
          <w:bCs/>
          <w:snapToGrid w:val="0"/>
          <w:color w:val="000000"/>
          <w:kern w:val="32"/>
          <w:sz w:val="32"/>
          <w:szCs w:val="32"/>
          <w:u w:val="none"/>
          <w:lang w:val="en-US" w:eastAsia="zh-CN"/>
        </w:rPr>
        <w:t>含外包团队</w:t>
      </w:r>
      <w:r>
        <w:rPr>
          <w:rFonts w:hint="eastAsia" w:ascii="仿宋_GB2312" w:hAnsi="宋体" w:eastAsia="仿宋_GB2312" w:cs="宋体"/>
          <w:bCs/>
          <w:snapToGrid w:val="0"/>
          <w:color w:val="000000"/>
          <w:kern w:val="32"/>
          <w:sz w:val="32"/>
          <w:szCs w:val="32"/>
          <w:u w:val="none"/>
          <w:lang w:eastAsia="zh-CN"/>
        </w:rPr>
        <w:t>）</w:t>
      </w:r>
      <w:r>
        <w:rPr>
          <w:rFonts w:hint="eastAsia" w:ascii="仿宋_GB2312" w:hAnsi="宋体" w:eastAsia="仿宋_GB2312" w:cs="宋体"/>
          <w:bCs/>
          <w:snapToGrid w:val="0"/>
          <w:color w:val="000000"/>
          <w:kern w:val="32"/>
          <w:sz w:val="32"/>
          <w:szCs w:val="32"/>
          <w:u w:val="none"/>
        </w:rPr>
        <w:t>需具有高/低压电工证等特种作业操作证、维修电工证、安全员证书或机电工程师等证书</w:t>
      </w:r>
      <w:r>
        <w:rPr>
          <w:rFonts w:hint="eastAsia" w:ascii="仿宋_GB2312" w:hAnsi="仿宋_GB2312" w:eastAsia="仿宋_GB2312" w:cs="仿宋_GB2312"/>
          <w:sz w:val="32"/>
          <w:szCs w:val="32"/>
          <w:u w:val="none"/>
          <w:lang w:val="en-US" w:eastAsia="zh-CN"/>
        </w:rPr>
        <w:t>之一</w:t>
      </w:r>
      <w:r>
        <w:rPr>
          <w:rFonts w:hint="eastAsia" w:ascii="仿宋_GB2312" w:hAnsi="仿宋_GB2312" w:eastAsia="仿宋_GB2312" w:cs="仿宋_GB2312"/>
          <w:sz w:val="32"/>
          <w:szCs w:val="32"/>
          <w:u w:val="none"/>
        </w:rPr>
        <w:t>的</w:t>
      </w:r>
      <w:r>
        <w:rPr>
          <w:rFonts w:hint="eastAsia" w:ascii="仿宋_GB2312" w:hAnsi="仿宋_GB2312" w:eastAsia="仿宋_GB2312" w:cs="仿宋_GB2312"/>
          <w:sz w:val="32"/>
          <w:szCs w:val="32"/>
          <w:u w:val="none"/>
          <w:lang w:eastAsia="zh-Hans"/>
        </w:rPr>
        <w:t>专业</w:t>
      </w:r>
      <w:r>
        <w:rPr>
          <w:rFonts w:hint="eastAsia" w:ascii="仿宋_GB2312" w:hAnsi="仿宋_GB2312" w:eastAsia="仿宋_GB2312" w:cs="仿宋_GB2312"/>
          <w:sz w:val="32"/>
          <w:szCs w:val="32"/>
          <w:u w:val="none"/>
        </w:rPr>
        <w:t>人员</w:t>
      </w:r>
      <w:r>
        <w:rPr>
          <w:rFonts w:ascii="仿宋_GB2312" w:hAnsi="仿宋_GB2312" w:eastAsia="仿宋_GB2312" w:cs="仿宋_GB2312"/>
          <w:sz w:val="32"/>
          <w:szCs w:val="32"/>
          <w:u w:val="none"/>
          <w:lang w:eastAsia="zh-Hans"/>
        </w:rPr>
        <w:t>。</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（三）申报单位投资建设、正常运营且接入市级公用充电设施数据信息服务平台（以下简称“市级平台”）的充换电设施总功率不低于3000千瓦</w:t>
      </w:r>
      <w:r>
        <w:rPr>
          <w:rFonts w:hint="eastAsia" w:ascii="仿宋_GB2312" w:hAnsi="宋体" w:eastAsia="仿宋_GB2312" w:cs="宋体"/>
          <w:bCs/>
          <w:snapToGrid w:val="0"/>
          <w:color w:val="000000"/>
          <w:kern w:val="32"/>
          <w:sz w:val="32"/>
          <w:szCs w:val="32"/>
          <w:highlight w:val="none"/>
        </w:rPr>
        <w:t>（</w:t>
      </w:r>
      <w:r>
        <w:rPr>
          <w:rFonts w:hint="eastAsia" w:ascii="仿宋_GB2312" w:hAnsi="宋体" w:eastAsia="仿宋_GB2312" w:cs="宋体"/>
          <w:bCs/>
          <w:snapToGrid w:val="0"/>
          <w:color w:val="000000"/>
          <w:kern w:val="32"/>
          <w:sz w:val="32"/>
          <w:szCs w:val="32"/>
          <w:highlight w:val="none"/>
          <w:u w:val="none"/>
        </w:rPr>
        <w:t>充电</w:t>
      </w:r>
      <w:r>
        <w:rPr>
          <w:rFonts w:hint="eastAsia" w:ascii="仿宋_GB2312" w:hAnsi="仿宋_GB2312" w:eastAsia="仿宋_GB2312" w:cs="仿宋_GB2312"/>
          <w:sz w:val="32"/>
          <w:szCs w:val="32"/>
          <w:highlight w:val="none"/>
          <w:u w:val="none"/>
        </w:rPr>
        <w:t>精品示范区中示范站点的建设运营单位不低于5000千瓦或具备10万平米以上可用于充电设施建设的储备土地资源，“统建统服”试点项目服务商除外</w:t>
      </w:r>
      <w:r>
        <w:rPr>
          <w:rFonts w:hint="eastAsia" w:ascii="仿宋_GB2312" w:hAnsi="宋体" w:eastAsia="仿宋_GB2312" w:cs="宋体"/>
          <w:bCs/>
          <w:snapToGrid w:val="0"/>
          <w:color w:val="000000"/>
          <w:kern w:val="32"/>
          <w:sz w:val="32"/>
          <w:szCs w:val="32"/>
          <w:highlight w:val="none"/>
        </w:rPr>
        <w:t>）</w:t>
      </w:r>
      <w:r>
        <w:rPr>
          <w:rFonts w:hint="eastAsia" w:ascii="仿宋_GB2312" w:hAnsi="宋体" w:eastAsia="仿宋_GB2312" w:cs="宋体"/>
          <w:bCs/>
          <w:snapToGrid w:val="0"/>
          <w:color w:val="000000"/>
          <w:kern w:val="32"/>
          <w:sz w:val="32"/>
          <w:szCs w:val="32"/>
        </w:rPr>
        <w:t>，且实现充换电设施状态信息互联互通，并及时传送充换电订单数据。</w:t>
      </w:r>
    </w:p>
    <w:p>
      <w:pPr>
        <w:spacing w:line="560" w:lineRule="exact"/>
        <w:ind w:firstLine="640" w:firstLineChars="200"/>
        <w:rPr>
          <w:rFonts w:ascii="仿宋_GB2312" w:hAnsi="宋体" w:eastAsia="仿宋_GB2312" w:cs="宋体"/>
          <w:bCs/>
          <w:snapToGrid w:val="0"/>
          <w:color w:val="000000"/>
          <w:kern w:val="32"/>
          <w:sz w:val="32"/>
          <w:szCs w:val="32"/>
        </w:rPr>
      </w:pPr>
      <w:r>
        <w:rPr>
          <w:rFonts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rPr>
        <w:t>四</w:t>
      </w:r>
      <w:r>
        <w:rPr>
          <w:rFonts w:ascii="仿宋_GB2312" w:hAnsi="宋体" w:eastAsia="仿宋_GB2312" w:cs="宋体"/>
          <w:bCs/>
          <w:snapToGrid w:val="0"/>
          <w:color w:val="000000"/>
          <w:kern w:val="32"/>
          <w:sz w:val="32"/>
          <w:szCs w:val="32"/>
          <w:lang w:eastAsia="zh-Hans"/>
        </w:rPr>
        <w:t>）</w:t>
      </w:r>
      <w:r>
        <w:rPr>
          <w:rFonts w:hint="eastAsia" w:ascii="仿宋_GB2312" w:hAnsi="宋体" w:eastAsia="仿宋_GB2312" w:cs="宋体"/>
          <w:bCs/>
          <w:snapToGrid w:val="0"/>
          <w:color w:val="000000"/>
          <w:kern w:val="32"/>
          <w:sz w:val="32"/>
          <w:szCs w:val="32"/>
          <w:lang w:eastAsia="zh-Hans"/>
        </w:rPr>
        <w:t>充换电设施的产品</w:t>
      </w:r>
      <w:r>
        <w:rPr>
          <w:rFonts w:ascii="仿宋_GB2312" w:hAnsi="宋体" w:eastAsia="仿宋_GB2312" w:cs="宋体"/>
          <w:bCs/>
          <w:snapToGrid w:val="0"/>
          <w:color w:val="000000"/>
          <w:kern w:val="32"/>
          <w:sz w:val="32"/>
          <w:szCs w:val="32"/>
          <w:lang w:eastAsia="zh-Hans"/>
        </w:rPr>
        <w:t>、</w:t>
      </w:r>
      <w:r>
        <w:rPr>
          <w:rFonts w:hint="eastAsia" w:ascii="仿宋_GB2312" w:hAnsi="宋体" w:eastAsia="仿宋_GB2312" w:cs="宋体"/>
          <w:bCs/>
          <w:snapToGrid w:val="0"/>
          <w:color w:val="000000"/>
          <w:kern w:val="32"/>
          <w:sz w:val="32"/>
          <w:szCs w:val="32"/>
          <w:lang w:eastAsia="zh-Hans"/>
        </w:rPr>
        <w:t>建设施工</w:t>
      </w:r>
      <w:r>
        <w:rPr>
          <w:rFonts w:ascii="仿宋_GB2312" w:hAnsi="宋体" w:eastAsia="仿宋_GB2312" w:cs="宋体"/>
          <w:bCs/>
          <w:snapToGrid w:val="0"/>
          <w:color w:val="000000"/>
          <w:kern w:val="32"/>
          <w:sz w:val="32"/>
          <w:szCs w:val="32"/>
          <w:lang w:eastAsia="zh-Hans"/>
        </w:rPr>
        <w:t>、</w:t>
      </w:r>
      <w:r>
        <w:rPr>
          <w:rFonts w:hint="eastAsia" w:ascii="仿宋_GB2312" w:hAnsi="宋体" w:eastAsia="仿宋_GB2312" w:cs="宋体"/>
          <w:bCs/>
          <w:snapToGrid w:val="0"/>
          <w:color w:val="000000"/>
          <w:kern w:val="32"/>
          <w:sz w:val="32"/>
          <w:szCs w:val="32"/>
          <w:lang w:eastAsia="zh-Hans"/>
        </w:rPr>
        <w:t>竣工验收</w:t>
      </w:r>
      <w:r>
        <w:rPr>
          <w:rFonts w:ascii="仿宋_GB2312" w:hAnsi="宋体" w:eastAsia="仿宋_GB2312" w:cs="宋体"/>
          <w:bCs/>
          <w:snapToGrid w:val="0"/>
          <w:color w:val="000000"/>
          <w:kern w:val="32"/>
          <w:sz w:val="32"/>
          <w:szCs w:val="32"/>
          <w:lang w:eastAsia="zh-Hans"/>
        </w:rPr>
        <w:t>、</w:t>
      </w:r>
      <w:r>
        <w:rPr>
          <w:rFonts w:hint="eastAsia" w:ascii="仿宋_GB2312" w:hAnsi="宋体" w:eastAsia="仿宋_GB2312" w:cs="宋体"/>
          <w:bCs/>
          <w:snapToGrid w:val="0"/>
          <w:color w:val="000000"/>
          <w:kern w:val="32"/>
          <w:sz w:val="32"/>
          <w:szCs w:val="32"/>
          <w:lang w:eastAsia="zh-Hans"/>
        </w:rPr>
        <w:t>运营管理符合国家和本市相关标准规范要求</w:t>
      </w:r>
      <w:r>
        <w:rPr>
          <w:rFonts w:ascii="仿宋_GB2312" w:hAnsi="宋体" w:eastAsia="仿宋_GB2312" w:cs="宋体"/>
          <w:bCs/>
          <w:snapToGrid w:val="0"/>
          <w:color w:val="000000"/>
          <w:kern w:val="32"/>
          <w:sz w:val="32"/>
          <w:szCs w:val="32"/>
          <w:lang w:eastAsia="zh-Hans"/>
        </w:rPr>
        <w:t>。</w:t>
      </w:r>
    </w:p>
    <w:p>
      <w:pPr>
        <w:spacing w:line="560" w:lineRule="atLeast"/>
        <w:ind w:firstLine="640" w:firstLineChars="200"/>
        <w:rPr>
          <w:rFonts w:ascii="宋体" w:hAnsi="宋体" w:eastAsia="仿宋_GB2312" w:cs="仿宋_GB2312"/>
          <w:snapToGrid w:val="0"/>
          <w:kern w:val="32"/>
          <w:sz w:val="32"/>
          <w:szCs w:val="32"/>
        </w:rPr>
      </w:pPr>
      <w:r>
        <w:rPr>
          <w:rFonts w:hint="eastAsia" w:ascii="仿宋_GB2312" w:hAnsi="宋体" w:eastAsia="仿宋_GB2312" w:cs="宋体"/>
          <w:bCs/>
          <w:snapToGrid w:val="0"/>
          <w:color w:val="000000"/>
          <w:kern w:val="32"/>
          <w:sz w:val="32"/>
          <w:szCs w:val="32"/>
        </w:rPr>
        <w:t>（五）充换电设施应具有充电安全责任保险、火灾保险或公众责任险等保险之一。</w:t>
      </w:r>
    </w:p>
    <w:p>
      <w:pPr>
        <w:spacing w:line="560" w:lineRule="atLeast"/>
        <w:ind w:firstLine="640" w:firstLineChars="200"/>
        <w:rPr>
          <w:rFonts w:ascii="仿宋_GB2312" w:hAnsi="宋体" w:eastAsia="仿宋_GB2312" w:cs="宋体"/>
          <w:bCs/>
          <w:snapToGrid w:val="0"/>
          <w:color w:val="000000"/>
          <w:kern w:val="32"/>
          <w:sz w:val="32"/>
          <w:szCs w:val="32"/>
        </w:rPr>
      </w:pPr>
      <w:r>
        <w:rPr>
          <w:rFonts w:hint="eastAsia" w:ascii="宋体" w:hAnsi="宋体" w:eastAsia="仿宋_GB2312" w:cs="仿宋_GB2312"/>
          <w:snapToGrid w:val="0"/>
          <w:kern w:val="32"/>
          <w:sz w:val="32"/>
          <w:szCs w:val="32"/>
        </w:rPr>
        <w:t>（六）申报建设奖励的充换电设施</w:t>
      </w:r>
      <w:r>
        <w:rPr>
          <w:rFonts w:hint="eastAsia" w:ascii="仿宋_GB2312" w:hAnsi="宋体" w:eastAsia="仿宋_GB2312" w:cs="宋体"/>
          <w:bCs/>
          <w:snapToGrid w:val="0"/>
          <w:color w:val="000000"/>
          <w:kern w:val="32"/>
          <w:sz w:val="32"/>
          <w:szCs w:val="32"/>
        </w:rPr>
        <w:t>未使用财政资金建设，</w:t>
      </w:r>
      <w:r>
        <w:rPr>
          <w:rFonts w:hint="eastAsia" w:ascii="宋体" w:hAnsi="宋体" w:eastAsia="仿宋_GB2312" w:cs="仿宋_GB2312"/>
          <w:snapToGrid w:val="0"/>
          <w:kern w:val="32"/>
          <w:sz w:val="32"/>
          <w:szCs w:val="32"/>
        </w:rPr>
        <w:t>未获得其他财政奖励（</w:t>
      </w:r>
      <w:r>
        <w:rPr>
          <w:rFonts w:hint="eastAsia" w:ascii="仿宋_GB2312" w:hAnsi="宋体" w:eastAsia="仿宋_GB2312" w:cs="宋体"/>
          <w:bCs/>
          <w:snapToGrid w:val="0"/>
          <w:color w:val="000000"/>
          <w:kern w:val="32"/>
          <w:sz w:val="32"/>
          <w:szCs w:val="32"/>
        </w:rPr>
        <w:t>同一位置更换充电设施视为已获得建设奖励）。</w:t>
      </w:r>
    </w:p>
    <w:p>
      <w:pPr>
        <w:keepNext/>
        <w:keepLines/>
        <w:spacing w:line="560" w:lineRule="exact"/>
        <w:ind w:firstLine="640" w:firstLineChars="200"/>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四、项目申报</w:t>
      </w:r>
    </w:p>
    <w:p>
      <w:pPr>
        <w:spacing w:line="560" w:lineRule="exact"/>
        <w:ind w:firstLine="640" w:firstLineChars="200"/>
        <w:rPr>
          <w:rFonts w:eastAsia="仿宋_GB2312"/>
        </w:rPr>
      </w:pPr>
      <w:r>
        <w:rPr>
          <w:rFonts w:hint="eastAsia" w:ascii="楷体_GB2312" w:hAnsi="宋体" w:eastAsia="楷体_GB2312" w:cs="宋体"/>
          <w:bCs/>
          <w:snapToGrid w:val="0"/>
          <w:color w:val="000000"/>
          <w:kern w:val="32"/>
          <w:sz w:val="32"/>
          <w:szCs w:val="32"/>
        </w:rPr>
        <w:t>（一）申报主体：</w:t>
      </w:r>
      <w:r>
        <w:rPr>
          <w:rFonts w:hint="eastAsia" w:ascii="仿宋_GB2312" w:hAnsi="宋体" w:eastAsia="仿宋_GB2312" w:cs="宋体"/>
          <w:bCs/>
          <w:snapToGrid w:val="0"/>
          <w:color w:val="000000"/>
          <w:kern w:val="32"/>
          <w:sz w:val="32"/>
          <w:szCs w:val="32"/>
          <w:lang w:eastAsia="zh-Hans"/>
        </w:rPr>
        <w:t>单位内部充电设施</w:t>
      </w:r>
      <w:r>
        <w:rPr>
          <w:rFonts w:hint="eastAsia"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lang w:eastAsia="zh-Hans"/>
        </w:rPr>
        <w:t>移动充电设施</w:t>
      </w:r>
      <w:r>
        <w:rPr>
          <w:rFonts w:hint="eastAsia" w:ascii="仿宋_GB2312" w:hAnsi="宋体" w:eastAsia="仿宋_GB2312" w:cs="宋体"/>
          <w:bCs/>
          <w:snapToGrid w:val="0"/>
          <w:color w:val="000000"/>
          <w:kern w:val="32"/>
          <w:sz w:val="32"/>
          <w:szCs w:val="32"/>
        </w:rPr>
        <w:t>、公用充电设施（含居住区公用和社会公用）、</w:t>
      </w:r>
      <w:r>
        <w:rPr>
          <w:rFonts w:hint="eastAsia" w:ascii="仿宋_GB2312" w:hAnsi="宋体" w:eastAsia="仿宋_GB2312" w:cs="宋体"/>
          <w:bCs/>
          <w:snapToGrid w:val="0"/>
          <w:color w:val="000000"/>
          <w:kern w:val="32"/>
          <w:sz w:val="32"/>
          <w:szCs w:val="32"/>
          <w:lang w:eastAsia="zh-Hans"/>
        </w:rPr>
        <w:t>换电设施</w:t>
      </w:r>
      <w:r>
        <w:rPr>
          <w:rFonts w:hint="eastAsia" w:ascii="仿宋_GB2312" w:hAnsi="宋体" w:eastAsia="仿宋_GB2312" w:cs="宋体"/>
          <w:bCs/>
          <w:snapToGrid w:val="0"/>
          <w:color w:val="000000"/>
          <w:kern w:val="32"/>
          <w:sz w:val="32"/>
          <w:szCs w:val="32"/>
        </w:rPr>
        <w:t>，V2G、光（储）充、有序充电桩等示范充电站（桩）由产权单位申报，</w:t>
      </w:r>
      <w:r>
        <w:rPr>
          <w:rFonts w:hint="eastAsia" w:ascii="仿宋_GB2312" w:hAnsi="宋体" w:eastAsia="仿宋_GB2312" w:cs="宋体"/>
          <w:bCs/>
          <w:snapToGrid w:val="0"/>
          <w:color w:val="000000"/>
          <w:kern w:val="32"/>
          <w:sz w:val="32"/>
          <w:szCs w:val="32"/>
          <w:u w:val="none"/>
        </w:rPr>
        <w:t>充电精品示范区由所在行政区的区城市管理部门组织</w:t>
      </w:r>
      <w:r>
        <w:rPr>
          <w:rFonts w:hint="eastAsia" w:ascii="仿宋_GB2312" w:hAnsi="仿宋_GB2312" w:eastAsia="仿宋_GB2312" w:cs="仿宋_GB2312"/>
          <w:sz w:val="32"/>
          <w:szCs w:val="32"/>
          <w:u w:val="none"/>
        </w:rPr>
        <w:t>示范站点的建设运营单位</w:t>
      </w:r>
      <w:r>
        <w:rPr>
          <w:rFonts w:hint="eastAsia" w:ascii="仿宋_GB2312" w:hAnsi="宋体" w:eastAsia="仿宋_GB2312" w:cs="宋体"/>
          <w:bCs/>
          <w:snapToGrid w:val="0"/>
          <w:color w:val="000000"/>
          <w:kern w:val="32"/>
          <w:sz w:val="32"/>
          <w:szCs w:val="32"/>
          <w:u w:val="none"/>
        </w:rPr>
        <w:t>申报</w:t>
      </w:r>
      <w:r>
        <w:rPr>
          <w:rFonts w:hint="eastAsia" w:ascii="仿宋_GB2312" w:hAnsi="宋体" w:eastAsia="仿宋_GB2312" w:cs="宋体"/>
          <w:bCs/>
          <w:snapToGrid w:val="0"/>
          <w:color w:val="000000"/>
          <w:kern w:val="32"/>
          <w:sz w:val="32"/>
          <w:szCs w:val="32"/>
          <w:highlight w:val="none"/>
          <w:u w:val="none"/>
        </w:rPr>
        <w:t>，“统建统服”试点项目由“统建统服”试点项目服务商申报</w:t>
      </w:r>
      <w:r>
        <w:rPr>
          <w:rFonts w:hint="eastAsia" w:ascii="仿宋_GB2312" w:hAnsi="宋体" w:eastAsia="仿宋_GB2312" w:cs="宋体"/>
          <w:bCs/>
          <w:snapToGrid w:val="0"/>
          <w:color w:val="000000"/>
          <w:kern w:val="32"/>
          <w:sz w:val="32"/>
          <w:szCs w:val="32"/>
        </w:rPr>
        <w:t>。</w:t>
      </w:r>
    </w:p>
    <w:p>
      <w:pPr>
        <w:spacing w:line="560" w:lineRule="exact"/>
        <w:ind w:firstLine="640" w:firstLineChars="200"/>
        <w:rPr>
          <w:rFonts w:ascii="仿宋_GB2312" w:hAnsi="宋体" w:eastAsia="仿宋_GB2312" w:cs="宋体"/>
          <w:bCs/>
          <w:snapToGrid w:val="0"/>
          <w:color w:val="FF0000"/>
          <w:kern w:val="32"/>
          <w:sz w:val="32"/>
          <w:szCs w:val="32"/>
        </w:rPr>
      </w:pPr>
      <w:r>
        <w:rPr>
          <w:rFonts w:hint="eastAsia" w:ascii="楷体_GB2312" w:hAnsi="宋体" w:eastAsia="楷体_GB2312" w:cs="宋体"/>
          <w:bCs/>
          <w:snapToGrid w:val="0"/>
          <w:color w:val="000000"/>
          <w:kern w:val="32"/>
          <w:sz w:val="32"/>
          <w:szCs w:val="32"/>
        </w:rPr>
        <w:t>（二）申报时间：</w:t>
      </w:r>
      <w:r>
        <w:rPr>
          <w:rFonts w:hint="eastAsia" w:ascii="仿宋_GB2312" w:hAnsi="宋体" w:eastAsia="仿宋_GB2312" w:cs="宋体"/>
          <w:bCs/>
          <w:snapToGrid w:val="0"/>
          <w:color w:val="000000"/>
          <w:kern w:val="32"/>
          <w:sz w:val="32"/>
          <w:szCs w:val="32"/>
          <w:u w:val="none"/>
        </w:rPr>
        <w:t>20</w:t>
      </w:r>
      <w:r>
        <w:rPr>
          <w:rFonts w:ascii="仿宋_GB2312" w:hAnsi="宋体" w:eastAsia="仿宋_GB2312" w:cs="宋体"/>
          <w:bCs/>
          <w:snapToGrid w:val="0"/>
          <w:color w:val="000000"/>
          <w:kern w:val="32"/>
          <w:sz w:val="32"/>
          <w:szCs w:val="32"/>
          <w:u w:val="none"/>
        </w:rPr>
        <w:t>23</w:t>
      </w:r>
      <w:r>
        <w:rPr>
          <w:rFonts w:hint="eastAsia" w:ascii="仿宋_GB2312" w:hAnsi="宋体" w:eastAsia="仿宋_GB2312" w:cs="宋体"/>
          <w:bCs/>
          <w:snapToGrid w:val="0"/>
          <w:color w:val="000000"/>
          <w:kern w:val="32"/>
          <w:sz w:val="32"/>
          <w:szCs w:val="32"/>
          <w:u w:val="none"/>
        </w:rPr>
        <w:t>年</w:t>
      </w:r>
      <w:r>
        <w:rPr>
          <w:rFonts w:hint="eastAsia" w:ascii="仿宋_GB2312" w:hAnsi="宋体" w:eastAsia="仿宋_GB2312" w:cs="宋体"/>
          <w:bCs/>
          <w:snapToGrid w:val="0"/>
          <w:color w:val="000000"/>
          <w:kern w:val="32"/>
          <w:sz w:val="32"/>
          <w:szCs w:val="32"/>
          <w:u w:val="none"/>
          <w:lang w:val="en-US" w:eastAsia="zh-CN"/>
        </w:rPr>
        <w:t>10</w:t>
      </w:r>
      <w:r>
        <w:rPr>
          <w:rFonts w:hint="eastAsia" w:ascii="仿宋_GB2312" w:hAnsi="宋体" w:eastAsia="仿宋_GB2312" w:cs="宋体"/>
          <w:bCs/>
          <w:snapToGrid w:val="0"/>
          <w:color w:val="000000"/>
          <w:kern w:val="32"/>
          <w:sz w:val="32"/>
          <w:szCs w:val="32"/>
          <w:u w:val="none"/>
        </w:rPr>
        <w:t>月</w:t>
      </w:r>
      <w:r>
        <w:rPr>
          <w:rFonts w:hint="eastAsia" w:ascii="仿宋_GB2312" w:hAnsi="宋体" w:eastAsia="仿宋_GB2312" w:cs="宋体"/>
          <w:bCs/>
          <w:snapToGrid w:val="0"/>
          <w:color w:val="000000"/>
          <w:kern w:val="32"/>
          <w:sz w:val="32"/>
          <w:szCs w:val="32"/>
          <w:u w:val="none"/>
          <w:lang w:val="en-US" w:eastAsia="zh-CN"/>
        </w:rPr>
        <w:t>xx</w:t>
      </w:r>
      <w:r>
        <w:rPr>
          <w:rFonts w:hint="eastAsia" w:ascii="仿宋_GB2312" w:hAnsi="宋体" w:eastAsia="仿宋_GB2312" w:cs="宋体"/>
          <w:bCs/>
          <w:snapToGrid w:val="0"/>
          <w:color w:val="000000"/>
          <w:kern w:val="32"/>
          <w:sz w:val="32"/>
          <w:szCs w:val="32"/>
          <w:u w:val="none"/>
        </w:rPr>
        <w:t>日截止</w:t>
      </w:r>
      <w:r>
        <w:rPr>
          <w:rFonts w:hint="eastAsia" w:ascii="仿宋_GB2312" w:hAnsi="宋体" w:eastAsia="仿宋_GB2312" w:cs="宋体"/>
          <w:bCs/>
          <w:snapToGrid w:val="0"/>
          <w:color w:val="000000"/>
          <w:kern w:val="32"/>
          <w:sz w:val="32"/>
          <w:szCs w:val="32"/>
        </w:rPr>
        <w:t>。</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楷体_GB2312" w:hAnsi="宋体" w:eastAsia="楷体_GB2312" w:cs="宋体"/>
          <w:bCs/>
          <w:snapToGrid w:val="0"/>
          <w:color w:val="000000"/>
          <w:kern w:val="32"/>
          <w:sz w:val="32"/>
          <w:szCs w:val="32"/>
        </w:rPr>
        <w:t>（三）申报材料：</w:t>
      </w:r>
      <w:r>
        <w:rPr>
          <w:rFonts w:hint="eastAsia" w:ascii="仿宋_GB2312" w:hAnsi="宋体" w:eastAsia="仿宋_GB2312" w:cs="宋体"/>
          <w:bCs/>
          <w:snapToGrid w:val="0"/>
          <w:color w:val="000000"/>
          <w:kern w:val="32"/>
          <w:sz w:val="32"/>
          <w:szCs w:val="32"/>
          <w:u w:val="none"/>
        </w:rPr>
        <w:t>申报单位向项目管理单位提交建设运营相关材料（附件2），所有项目申报材料不予退回。</w:t>
      </w:r>
    </w:p>
    <w:p>
      <w:pPr>
        <w:widowControl/>
        <w:spacing w:line="560" w:lineRule="exact"/>
        <w:ind w:firstLine="640" w:firstLineChars="200"/>
        <w:jc w:val="left"/>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五、评审评价</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楷体_GB2312" w:hAnsi="楷体_GB2312" w:eastAsia="楷体_GB2312" w:cs="楷体_GB2312"/>
          <w:bCs/>
          <w:snapToGrid w:val="0"/>
          <w:color w:val="000000"/>
          <w:kern w:val="32"/>
          <w:sz w:val="32"/>
          <w:szCs w:val="32"/>
        </w:rPr>
        <w:t>（一）材料初审。</w:t>
      </w:r>
      <w:r>
        <w:rPr>
          <w:rFonts w:hint="eastAsia" w:ascii="仿宋_GB2312" w:hAnsi="宋体" w:eastAsia="仿宋_GB2312" w:cs="宋体"/>
          <w:bCs/>
          <w:snapToGrid w:val="0"/>
          <w:color w:val="000000"/>
          <w:kern w:val="32"/>
          <w:sz w:val="32"/>
          <w:szCs w:val="32"/>
        </w:rPr>
        <w:t>项目管理单位组织开展材料初审，将材料完整、合规的充换电设施纳入本</w:t>
      </w:r>
      <w:r>
        <w:rPr>
          <w:rFonts w:ascii="仿宋_GB2312" w:hAnsi="宋体" w:eastAsia="仿宋_GB2312" w:cs="宋体"/>
          <w:bCs/>
          <w:snapToGrid w:val="0"/>
          <w:color w:val="000000"/>
          <w:kern w:val="32"/>
          <w:sz w:val="32"/>
          <w:szCs w:val="32"/>
        </w:rPr>
        <w:t>年度</w:t>
      </w:r>
      <w:r>
        <w:rPr>
          <w:rFonts w:hint="eastAsia" w:ascii="仿宋_GB2312" w:hAnsi="宋体" w:eastAsia="仿宋_GB2312" w:cs="宋体"/>
          <w:bCs/>
          <w:snapToGrid w:val="0"/>
          <w:color w:val="000000"/>
          <w:kern w:val="32"/>
          <w:sz w:val="32"/>
          <w:szCs w:val="32"/>
        </w:rPr>
        <w:t>奖励</w:t>
      </w:r>
      <w:r>
        <w:rPr>
          <w:rFonts w:ascii="仿宋_GB2312" w:hAnsi="宋体" w:eastAsia="仿宋_GB2312" w:cs="宋体"/>
          <w:bCs/>
          <w:snapToGrid w:val="0"/>
          <w:color w:val="000000"/>
          <w:kern w:val="32"/>
          <w:sz w:val="32"/>
          <w:szCs w:val="32"/>
        </w:rPr>
        <w:t>范围</w:t>
      </w:r>
      <w:r>
        <w:rPr>
          <w:rFonts w:hint="eastAsia" w:ascii="仿宋_GB2312" w:hAnsi="宋体" w:eastAsia="仿宋_GB2312" w:cs="宋体"/>
          <w:bCs/>
          <w:snapToGrid w:val="0"/>
          <w:color w:val="000000"/>
          <w:kern w:val="32"/>
          <w:sz w:val="32"/>
          <w:szCs w:val="32"/>
        </w:rPr>
        <w:t>。</w:t>
      </w:r>
    </w:p>
    <w:p>
      <w:pPr>
        <w:spacing w:line="560" w:lineRule="exact"/>
        <w:ind w:firstLine="640" w:firstLineChars="200"/>
        <w:rPr>
          <w:rFonts w:ascii="仿宋_GB2312" w:hAnsi="宋体" w:eastAsia="楷体_GB2312" w:cs="宋体"/>
          <w:bCs/>
          <w:snapToGrid w:val="0"/>
          <w:color w:val="000000"/>
          <w:kern w:val="32"/>
          <w:sz w:val="32"/>
          <w:szCs w:val="32"/>
        </w:rPr>
      </w:pPr>
      <w:r>
        <w:rPr>
          <w:rFonts w:hint="eastAsia" w:ascii="楷体_GB2312" w:hAnsi="楷体_GB2312" w:eastAsia="楷体_GB2312" w:cs="楷体_GB2312"/>
          <w:bCs/>
          <w:snapToGrid w:val="0"/>
          <w:color w:val="000000"/>
          <w:kern w:val="32"/>
          <w:sz w:val="32"/>
          <w:szCs w:val="32"/>
        </w:rPr>
        <w:t>（二）平台监测。</w:t>
      </w:r>
      <w:r>
        <w:rPr>
          <w:rFonts w:hint="eastAsia" w:ascii="仿宋_GB2312" w:hAnsi="宋体" w:eastAsia="仿宋_GB2312" w:cs="宋体"/>
          <w:bCs/>
          <w:snapToGrid w:val="0"/>
          <w:color w:val="000000"/>
          <w:kern w:val="32"/>
          <w:sz w:val="32"/>
          <w:szCs w:val="32"/>
        </w:rPr>
        <w:t>针对申报运营奖励的公用充电设施、换电设施，市级平台对纳入奖励范围的充换电站进行监测，形成监测报告。对存在持续未推送状态、持续掉线、持续故障、持续停运等情况超30天</w:t>
      </w:r>
      <w:r>
        <w:rPr>
          <w:rFonts w:hint="eastAsia" w:ascii="仿宋_GB2312" w:hAnsi="宋体" w:eastAsia="仿宋_GB2312" w:cs="宋体"/>
          <w:bCs/>
          <w:snapToGrid w:val="0"/>
          <w:color w:val="000000"/>
          <w:kern w:val="32"/>
          <w:sz w:val="32"/>
          <w:szCs w:val="32"/>
          <w:lang w:eastAsia="zh-Hans"/>
        </w:rPr>
        <w:t>及</w:t>
      </w:r>
      <w:r>
        <w:rPr>
          <w:rFonts w:hint="eastAsia" w:ascii="仿宋_GB2312" w:hAnsi="宋体" w:eastAsia="仿宋_GB2312" w:cs="宋体"/>
          <w:bCs/>
          <w:snapToGrid w:val="0"/>
          <w:color w:val="000000"/>
          <w:kern w:val="32"/>
          <w:sz w:val="32"/>
          <w:szCs w:val="32"/>
        </w:rPr>
        <w:t>考核期内充换电量</w:t>
      </w:r>
      <w:r>
        <w:rPr>
          <w:rFonts w:hint="eastAsia" w:ascii="仿宋_GB2312" w:hAnsi="宋体" w:eastAsia="仿宋_GB2312" w:cs="宋体"/>
          <w:bCs/>
          <w:snapToGrid w:val="0"/>
          <w:color w:val="000000"/>
          <w:kern w:val="32"/>
          <w:sz w:val="32"/>
          <w:szCs w:val="32"/>
          <w:lang w:eastAsia="zh-Hans"/>
        </w:rPr>
        <w:t>为</w:t>
      </w:r>
      <w:r>
        <w:rPr>
          <w:rFonts w:hint="eastAsia" w:ascii="仿宋_GB2312" w:hAnsi="宋体" w:eastAsia="仿宋_GB2312" w:cs="宋体"/>
          <w:bCs/>
          <w:snapToGrid w:val="0"/>
          <w:color w:val="000000"/>
          <w:kern w:val="32"/>
          <w:sz w:val="32"/>
          <w:szCs w:val="32"/>
        </w:rPr>
        <w:t>0</w:t>
      </w:r>
      <w:r>
        <w:rPr>
          <w:rFonts w:hint="eastAsia" w:ascii="仿宋_GB2312" w:hAnsi="宋体" w:eastAsia="仿宋_GB2312" w:cs="宋体"/>
          <w:bCs/>
          <w:snapToGrid w:val="0"/>
          <w:color w:val="000000"/>
          <w:kern w:val="32"/>
          <w:sz w:val="32"/>
          <w:szCs w:val="32"/>
          <w:lang w:eastAsia="zh-Hans"/>
        </w:rPr>
        <w:t>的</w:t>
      </w:r>
      <w:r>
        <w:rPr>
          <w:rFonts w:hint="eastAsia" w:ascii="仿宋_GB2312" w:hAnsi="宋体" w:eastAsia="仿宋_GB2312" w:cs="宋体"/>
          <w:bCs/>
          <w:snapToGrid w:val="0"/>
          <w:color w:val="000000"/>
          <w:kern w:val="32"/>
          <w:sz w:val="32"/>
          <w:szCs w:val="32"/>
        </w:rPr>
        <w:t>充换电站，取消其奖励资格。</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楷体_GB2312" w:hAnsi="楷体_GB2312" w:eastAsia="楷体_GB2312" w:cs="楷体_GB2312"/>
          <w:bCs/>
          <w:snapToGrid w:val="0"/>
          <w:color w:val="000000"/>
          <w:kern w:val="32"/>
          <w:sz w:val="32"/>
          <w:szCs w:val="32"/>
        </w:rPr>
        <w:t>（三）现场核查。</w:t>
      </w:r>
      <w:r>
        <w:rPr>
          <w:rFonts w:hint="eastAsia" w:ascii="仿宋_GB2312" w:hAnsi="宋体" w:eastAsia="仿宋_GB2312" w:cs="宋体"/>
          <w:bCs/>
          <w:snapToGrid w:val="0"/>
          <w:color w:val="000000"/>
          <w:kern w:val="32"/>
          <w:sz w:val="32"/>
          <w:szCs w:val="32"/>
        </w:rPr>
        <w:t>项目管理单位组织开展现场核查工作，结合市级平台监测情况，按照“</w:t>
      </w:r>
      <w:r>
        <w:rPr>
          <w:rFonts w:ascii="仿宋_GB2312" w:hAnsi="宋体" w:eastAsia="仿宋_GB2312" w:cs="宋体"/>
          <w:bCs/>
          <w:snapToGrid w:val="0"/>
          <w:color w:val="000000"/>
          <w:kern w:val="32"/>
          <w:sz w:val="32"/>
          <w:szCs w:val="32"/>
        </w:rPr>
        <w:t>申报单位全覆盖</w:t>
      </w:r>
      <w:r>
        <w:rPr>
          <w:rFonts w:hint="eastAsia" w:ascii="仿宋_GB2312" w:hAnsi="宋体" w:eastAsia="仿宋_GB2312" w:cs="宋体"/>
          <w:bCs/>
          <w:snapToGrid w:val="0"/>
          <w:color w:val="000000"/>
          <w:kern w:val="32"/>
          <w:sz w:val="32"/>
          <w:szCs w:val="32"/>
        </w:rPr>
        <w:t>、</w:t>
      </w:r>
      <w:r>
        <w:rPr>
          <w:rFonts w:ascii="仿宋_GB2312" w:hAnsi="宋体" w:eastAsia="仿宋_GB2312" w:cs="宋体"/>
          <w:bCs/>
          <w:snapToGrid w:val="0"/>
          <w:color w:val="000000"/>
          <w:kern w:val="32"/>
          <w:sz w:val="32"/>
          <w:szCs w:val="32"/>
        </w:rPr>
        <w:t>行政区域全覆盖</w:t>
      </w:r>
      <w:r>
        <w:rPr>
          <w:rFonts w:hint="eastAsia" w:ascii="仿宋_GB2312" w:hAnsi="宋体" w:eastAsia="仿宋_GB2312" w:cs="宋体"/>
          <w:bCs/>
          <w:snapToGrid w:val="0"/>
          <w:color w:val="000000"/>
          <w:kern w:val="32"/>
          <w:sz w:val="32"/>
          <w:szCs w:val="32"/>
        </w:rPr>
        <w:t>”</w:t>
      </w:r>
      <w:r>
        <w:rPr>
          <w:rFonts w:ascii="仿宋_GB2312" w:hAnsi="宋体" w:eastAsia="仿宋_GB2312" w:cs="宋体"/>
          <w:bCs/>
          <w:snapToGrid w:val="0"/>
          <w:color w:val="000000"/>
          <w:kern w:val="32"/>
          <w:sz w:val="32"/>
          <w:szCs w:val="32"/>
        </w:rPr>
        <w:t>原则</w:t>
      </w:r>
      <w:r>
        <w:rPr>
          <w:rFonts w:hint="eastAsia" w:ascii="仿宋_GB2312" w:hAnsi="宋体" w:eastAsia="仿宋_GB2312" w:cs="宋体"/>
          <w:bCs/>
          <w:snapToGrid w:val="0"/>
          <w:color w:val="000000"/>
          <w:kern w:val="32"/>
          <w:sz w:val="32"/>
          <w:szCs w:val="32"/>
        </w:rPr>
        <w:t>，对</w:t>
      </w:r>
      <w:r>
        <w:rPr>
          <w:rFonts w:ascii="仿宋_GB2312" w:hAnsi="宋体" w:eastAsia="仿宋_GB2312" w:cs="宋体"/>
          <w:bCs/>
          <w:snapToGrid w:val="0"/>
          <w:color w:val="000000"/>
          <w:kern w:val="32"/>
          <w:sz w:val="32"/>
          <w:szCs w:val="32"/>
        </w:rPr>
        <w:t>充</w:t>
      </w:r>
      <w:r>
        <w:rPr>
          <w:rFonts w:hint="eastAsia" w:ascii="仿宋_GB2312" w:hAnsi="宋体" w:eastAsia="仿宋_GB2312" w:cs="宋体"/>
          <w:bCs/>
          <w:snapToGrid w:val="0"/>
          <w:color w:val="000000"/>
          <w:kern w:val="32"/>
          <w:sz w:val="32"/>
          <w:szCs w:val="32"/>
        </w:rPr>
        <w:t>换</w:t>
      </w:r>
      <w:r>
        <w:rPr>
          <w:rFonts w:ascii="仿宋_GB2312" w:hAnsi="宋体" w:eastAsia="仿宋_GB2312" w:cs="宋体"/>
          <w:bCs/>
          <w:snapToGrid w:val="0"/>
          <w:color w:val="000000"/>
          <w:kern w:val="32"/>
          <w:sz w:val="32"/>
          <w:szCs w:val="32"/>
        </w:rPr>
        <w:t>电站</w:t>
      </w:r>
      <w:r>
        <w:rPr>
          <w:rFonts w:hint="eastAsia" w:ascii="仿宋_GB2312" w:hAnsi="宋体" w:eastAsia="仿宋_GB2312" w:cs="宋体"/>
          <w:bCs/>
          <w:snapToGrid w:val="0"/>
          <w:color w:val="000000"/>
          <w:kern w:val="32"/>
          <w:sz w:val="32"/>
          <w:szCs w:val="32"/>
        </w:rPr>
        <w:t>设施数量及功率与申报内容一致性、运营状态</w:t>
      </w:r>
      <w:r>
        <w:rPr>
          <w:rFonts w:ascii="仿宋_GB2312" w:hAnsi="宋体" w:eastAsia="仿宋_GB2312" w:cs="宋体"/>
          <w:bCs/>
          <w:snapToGrid w:val="0"/>
          <w:color w:val="000000"/>
          <w:kern w:val="32"/>
          <w:sz w:val="32"/>
          <w:szCs w:val="32"/>
        </w:rPr>
        <w:t>进行</w:t>
      </w:r>
      <w:r>
        <w:rPr>
          <w:rFonts w:hint="eastAsia" w:ascii="仿宋_GB2312" w:hAnsi="宋体" w:eastAsia="仿宋_GB2312" w:cs="宋体"/>
          <w:bCs/>
          <w:snapToGrid w:val="0"/>
          <w:color w:val="000000"/>
          <w:kern w:val="32"/>
          <w:sz w:val="32"/>
          <w:szCs w:val="32"/>
        </w:rPr>
        <w:t>现场查验。</w:t>
      </w:r>
    </w:p>
    <w:p>
      <w:pPr>
        <w:spacing w:line="560" w:lineRule="exact"/>
        <w:ind w:firstLine="640" w:firstLineChars="200"/>
        <w:rPr>
          <w:rFonts w:hint="default" w:ascii="仿宋_GB2312" w:hAnsi="宋体" w:eastAsia="仿宋_GB2312" w:cs="宋体"/>
          <w:bCs/>
          <w:snapToGrid w:val="0"/>
          <w:color w:val="000000"/>
          <w:kern w:val="32"/>
          <w:sz w:val="32"/>
          <w:szCs w:val="32"/>
          <w:highlight w:val="none"/>
          <w:lang w:val="en-US" w:eastAsia="zh-CN"/>
        </w:rPr>
      </w:pPr>
      <w:r>
        <w:rPr>
          <w:rFonts w:hint="eastAsia" w:ascii="楷体_GB2312" w:hAnsi="楷体_GB2312" w:eastAsia="楷体_GB2312" w:cs="楷体_GB2312"/>
          <w:bCs/>
          <w:snapToGrid w:val="0"/>
          <w:color w:val="000000"/>
          <w:kern w:val="32"/>
          <w:sz w:val="32"/>
          <w:szCs w:val="32"/>
        </w:rPr>
        <w:t>（四）考核评价。</w:t>
      </w:r>
      <w:r>
        <w:rPr>
          <w:rFonts w:hint="eastAsia" w:ascii="仿宋_GB2312" w:hAnsi="宋体" w:eastAsia="仿宋_GB2312" w:cs="宋体"/>
          <w:bCs/>
          <w:snapToGrid w:val="0"/>
          <w:color w:val="000000"/>
          <w:kern w:val="32"/>
          <w:sz w:val="32"/>
          <w:szCs w:val="32"/>
        </w:rPr>
        <w:t>针对公用充电设施（含居住区公用和社会公用）、2022年5月31日之前建成的换电设施，从充电</w:t>
      </w:r>
      <w:r>
        <w:rPr>
          <w:rFonts w:hint="eastAsia" w:ascii="仿宋_GB2312" w:hAnsi="宋体" w:eastAsia="仿宋_GB2312" w:cs="宋体"/>
          <w:bCs/>
          <w:snapToGrid w:val="0"/>
          <w:color w:val="000000"/>
          <w:kern w:val="32"/>
          <w:sz w:val="32"/>
          <w:szCs w:val="32"/>
          <w:lang w:eastAsia="zh-Hans"/>
        </w:rPr>
        <w:t>安全性</w:t>
      </w:r>
      <w:r>
        <w:rPr>
          <w:rFonts w:ascii="仿宋_GB2312" w:hAnsi="宋体" w:eastAsia="仿宋_GB2312" w:cs="宋体"/>
          <w:bCs/>
          <w:snapToGrid w:val="0"/>
          <w:color w:val="000000"/>
          <w:kern w:val="32"/>
          <w:sz w:val="32"/>
          <w:szCs w:val="32"/>
          <w:lang w:eastAsia="zh-Hans"/>
        </w:rPr>
        <w:t>、</w:t>
      </w:r>
      <w:r>
        <w:rPr>
          <w:rFonts w:hint="eastAsia" w:ascii="仿宋_GB2312" w:hAnsi="宋体" w:eastAsia="仿宋_GB2312" w:cs="宋体"/>
          <w:bCs/>
          <w:snapToGrid w:val="0"/>
          <w:color w:val="000000"/>
          <w:kern w:val="32"/>
          <w:sz w:val="32"/>
          <w:szCs w:val="32"/>
        </w:rPr>
        <w:t>设施</w:t>
      </w:r>
      <w:r>
        <w:rPr>
          <w:rFonts w:hint="eastAsia" w:ascii="仿宋_GB2312" w:hAnsi="宋体" w:eastAsia="仿宋_GB2312" w:cs="宋体"/>
          <w:bCs/>
          <w:snapToGrid w:val="0"/>
          <w:color w:val="000000"/>
          <w:kern w:val="32"/>
          <w:sz w:val="32"/>
          <w:szCs w:val="32"/>
          <w:lang w:eastAsia="zh-Hans"/>
        </w:rPr>
        <w:t>可用</w:t>
      </w:r>
      <w:r>
        <w:rPr>
          <w:rFonts w:hint="eastAsia" w:ascii="仿宋_GB2312" w:hAnsi="宋体" w:eastAsia="仿宋_GB2312" w:cs="宋体"/>
          <w:bCs/>
          <w:snapToGrid w:val="0"/>
          <w:color w:val="000000"/>
          <w:kern w:val="32"/>
          <w:sz w:val="32"/>
          <w:szCs w:val="32"/>
          <w:highlight w:val="none"/>
          <w:lang w:eastAsia="zh-Hans"/>
        </w:rPr>
        <w:t>性</w:t>
      </w:r>
      <w:r>
        <w:rPr>
          <w:rFonts w:ascii="仿宋_GB2312" w:hAnsi="宋体" w:eastAsia="仿宋_GB2312" w:cs="宋体"/>
          <w:bCs/>
          <w:snapToGrid w:val="0"/>
          <w:color w:val="000000"/>
          <w:kern w:val="32"/>
          <w:sz w:val="32"/>
          <w:szCs w:val="32"/>
          <w:highlight w:val="none"/>
          <w:lang w:eastAsia="zh-Hans"/>
        </w:rPr>
        <w:t>、</w:t>
      </w:r>
      <w:r>
        <w:rPr>
          <w:rFonts w:hint="eastAsia" w:ascii="仿宋_GB2312" w:hAnsi="宋体" w:eastAsia="仿宋_GB2312" w:cs="宋体"/>
          <w:bCs/>
          <w:snapToGrid w:val="0"/>
          <w:color w:val="000000"/>
          <w:kern w:val="32"/>
          <w:sz w:val="32"/>
          <w:szCs w:val="32"/>
          <w:highlight w:val="none"/>
        </w:rPr>
        <w:t>响应</w:t>
      </w:r>
      <w:r>
        <w:rPr>
          <w:rFonts w:hint="eastAsia" w:ascii="仿宋_GB2312" w:hAnsi="宋体" w:eastAsia="仿宋_GB2312" w:cs="宋体"/>
          <w:bCs/>
          <w:snapToGrid w:val="0"/>
          <w:color w:val="000000"/>
          <w:kern w:val="32"/>
          <w:sz w:val="32"/>
          <w:szCs w:val="32"/>
          <w:highlight w:val="none"/>
          <w:lang w:eastAsia="zh-Hans"/>
        </w:rPr>
        <w:t>及时性</w:t>
      </w:r>
      <w:r>
        <w:rPr>
          <w:rFonts w:ascii="仿宋_GB2312" w:hAnsi="宋体" w:eastAsia="仿宋_GB2312" w:cs="宋体"/>
          <w:bCs/>
          <w:snapToGrid w:val="0"/>
          <w:color w:val="000000"/>
          <w:kern w:val="32"/>
          <w:sz w:val="32"/>
          <w:szCs w:val="32"/>
          <w:highlight w:val="none"/>
          <w:lang w:eastAsia="zh-Hans"/>
        </w:rPr>
        <w:t>、</w:t>
      </w:r>
      <w:r>
        <w:rPr>
          <w:rFonts w:hint="eastAsia" w:ascii="仿宋_GB2312" w:hAnsi="宋体" w:eastAsia="仿宋_GB2312" w:cs="宋体"/>
          <w:bCs/>
          <w:snapToGrid w:val="0"/>
          <w:color w:val="000000"/>
          <w:kern w:val="32"/>
          <w:sz w:val="32"/>
          <w:szCs w:val="32"/>
          <w:highlight w:val="none"/>
        </w:rPr>
        <w:t>充电</w:t>
      </w:r>
      <w:r>
        <w:rPr>
          <w:rFonts w:hint="eastAsia" w:ascii="仿宋_GB2312" w:hAnsi="宋体" w:eastAsia="仿宋_GB2312" w:cs="宋体"/>
          <w:bCs/>
          <w:snapToGrid w:val="0"/>
          <w:color w:val="000000"/>
          <w:kern w:val="32"/>
          <w:sz w:val="32"/>
          <w:szCs w:val="32"/>
          <w:highlight w:val="none"/>
          <w:lang w:eastAsia="zh-Hans"/>
        </w:rPr>
        <w:t>友好</w:t>
      </w:r>
      <w:r>
        <w:rPr>
          <w:rFonts w:hint="eastAsia" w:ascii="仿宋_GB2312" w:hAnsi="宋体" w:eastAsia="仿宋_GB2312" w:cs="宋体"/>
          <w:bCs/>
          <w:snapToGrid w:val="0"/>
          <w:color w:val="000000"/>
          <w:kern w:val="32"/>
          <w:sz w:val="32"/>
          <w:szCs w:val="32"/>
          <w:highlight w:val="none"/>
        </w:rPr>
        <w:t>性等方面对充换电站进行综合评价（附件</w:t>
      </w:r>
      <w:r>
        <w:rPr>
          <w:rFonts w:hint="eastAsia" w:ascii="仿宋_GB2312" w:hAnsi="宋体" w:eastAsia="仿宋_GB2312" w:cs="宋体"/>
          <w:bCs/>
          <w:snapToGrid w:val="0"/>
          <w:color w:val="000000"/>
          <w:kern w:val="32"/>
          <w:sz w:val="32"/>
          <w:szCs w:val="32"/>
          <w:highlight w:val="none"/>
          <w:lang w:val="en-US" w:eastAsia="zh-CN"/>
        </w:rPr>
        <w:t>3</w:t>
      </w:r>
      <w:r>
        <w:rPr>
          <w:rFonts w:hint="eastAsia" w:ascii="仿宋_GB2312" w:hAnsi="宋体" w:eastAsia="仿宋_GB2312" w:cs="宋体"/>
          <w:bCs/>
          <w:snapToGrid w:val="0"/>
          <w:color w:val="000000"/>
          <w:kern w:val="32"/>
          <w:sz w:val="32"/>
          <w:szCs w:val="32"/>
          <w:highlight w:val="none"/>
        </w:rPr>
        <w:t>）。</w:t>
      </w:r>
      <w:r>
        <w:rPr>
          <w:rFonts w:hint="eastAsia" w:ascii="仿宋_GB2312" w:hAnsi="宋体" w:eastAsia="仿宋_GB2312" w:cs="宋体"/>
          <w:bCs/>
          <w:snapToGrid w:val="0"/>
          <w:color w:val="000000"/>
          <w:kern w:val="32"/>
          <w:sz w:val="32"/>
          <w:szCs w:val="32"/>
          <w:highlight w:val="none"/>
          <w:u w:val="none"/>
          <w:lang w:val="en-US" w:eastAsia="zh-CN"/>
        </w:rPr>
        <w:t>针对</w:t>
      </w:r>
      <w:r>
        <w:rPr>
          <w:rFonts w:hint="eastAsia" w:ascii="仿宋_GB2312" w:hAnsi="宋体" w:eastAsia="仿宋_GB2312" w:cs="宋体"/>
          <w:bCs/>
          <w:snapToGrid w:val="0"/>
          <w:color w:val="000000"/>
          <w:kern w:val="32"/>
          <w:sz w:val="32"/>
          <w:szCs w:val="32"/>
          <w:highlight w:val="none"/>
          <w:u w:val="none"/>
        </w:rPr>
        <w:t>单位内部充电设施</w:t>
      </w:r>
      <w:r>
        <w:rPr>
          <w:rFonts w:hint="eastAsia" w:ascii="仿宋_GB2312" w:hAnsi="宋体" w:eastAsia="仿宋_GB2312" w:cs="宋体"/>
          <w:bCs/>
          <w:snapToGrid w:val="0"/>
          <w:color w:val="000000"/>
          <w:kern w:val="32"/>
          <w:sz w:val="32"/>
          <w:szCs w:val="32"/>
          <w:highlight w:val="none"/>
          <w:u w:val="none"/>
          <w:lang w:eastAsia="zh-CN"/>
        </w:rPr>
        <w:t>、</w:t>
      </w:r>
      <w:r>
        <w:rPr>
          <w:rFonts w:hint="eastAsia" w:ascii="仿宋_GB2312" w:hAnsi="宋体" w:eastAsia="仿宋_GB2312" w:cs="宋体"/>
          <w:bCs/>
          <w:snapToGrid w:val="0"/>
          <w:color w:val="000000"/>
          <w:kern w:val="32"/>
          <w:sz w:val="32"/>
          <w:szCs w:val="32"/>
          <w:highlight w:val="none"/>
          <w:u w:val="none"/>
        </w:rPr>
        <w:t>移动充电设施</w:t>
      </w:r>
      <w:r>
        <w:rPr>
          <w:rFonts w:hint="eastAsia" w:ascii="仿宋_GB2312" w:hAnsi="宋体" w:eastAsia="仿宋_GB2312" w:cs="宋体"/>
          <w:bCs/>
          <w:snapToGrid w:val="0"/>
          <w:color w:val="000000"/>
          <w:kern w:val="32"/>
          <w:sz w:val="32"/>
          <w:szCs w:val="32"/>
          <w:highlight w:val="none"/>
          <w:u w:val="none"/>
          <w:lang w:val="en-US" w:eastAsia="zh-CN"/>
        </w:rPr>
        <w:t>和</w:t>
      </w:r>
      <w:r>
        <w:rPr>
          <w:rFonts w:hint="eastAsia" w:ascii="仿宋_GB2312" w:hAnsi="宋体" w:eastAsia="仿宋_GB2312" w:cs="宋体"/>
          <w:bCs/>
          <w:snapToGrid w:val="0"/>
          <w:color w:val="000000"/>
          <w:kern w:val="32"/>
          <w:sz w:val="32"/>
          <w:szCs w:val="32"/>
          <w:highlight w:val="none"/>
          <w:u w:val="none"/>
        </w:rPr>
        <w:t>V2G、光（储）充、有序充电桩等示范充电站（桩）</w:t>
      </w:r>
      <w:r>
        <w:rPr>
          <w:rFonts w:hint="eastAsia" w:ascii="仿宋_GB2312" w:hAnsi="宋体" w:eastAsia="仿宋_GB2312" w:cs="宋体"/>
          <w:bCs/>
          <w:snapToGrid w:val="0"/>
          <w:color w:val="000000"/>
          <w:kern w:val="32"/>
          <w:sz w:val="32"/>
          <w:szCs w:val="32"/>
          <w:highlight w:val="none"/>
          <w:u w:val="none"/>
          <w:lang w:eastAsia="zh-CN"/>
        </w:rPr>
        <w:t>，</w:t>
      </w:r>
      <w:r>
        <w:rPr>
          <w:rFonts w:hint="eastAsia" w:ascii="仿宋_GB2312" w:hAnsi="宋体" w:eastAsia="仿宋_GB2312" w:cs="宋体"/>
          <w:bCs/>
          <w:snapToGrid w:val="0"/>
          <w:color w:val="000000"/>
          <w:kern w:val="32"/>
          <w:sz w:val="32"/>
          <w:szCs w:val="32"/>
          <w:highlight w:val="none"/>
          <w:u w:val="none"/>
          <w:lang w:val="en-US" w:eastAsia="zh-CN"/>
        </w:rPr>
        <w:t>从充电安全性进行评价，对于</w:t>
      </w:r>
      <w:r>
        <w:rPr>
          <w:rFonts w:hint="eastAsia" w:ascii="仿宋_GB2312" w:hAnsi="宋体" w:eastAsia="仿宋_GB2312" w:cs="宋体"/>
          <w:bCs/>
          <w:snapToGrid w:val="0"/>
          <w:color w:val="000000"/>
          <w:kern w:val="32"/>
          <w:sz w:val="32"/>
          <w:szCs w:val="32"/>
          <w:highlight w:val="none"/>
          <w:u w:val="none"/>
        </w:rPr>
        <w:t>发生安全事故</w:t>
      </w:r>
      <w:r>
        <w:rPr>
          <w:rFonts w:hint="eastAsia" w:ascii="仿宋_GB2312" w:hAnsi="宋体" w:eastAsia="仿宋_GB2312" w:cs="宋体"/>
          <w:bCs/>
          <w:snapToGrid w:val="0"/>
          <w:color w:val="000000"/>
          <w:kern w:val="32"/>
          <w:sz w:val="32"/>
          <w:szCs w:val="32"/>
          <w:highlight w:val="none"/>
          <w:u w:val="none"/>
          <w:lang w:eastAsia="zh-CN"/>
        </w:rPr>
        <w:t>、</w:t>
      </w:r>
      <w:r>
        <w:rPr>
          <w:rFonts w:hint="eastAsia" w:ascii="仿宋_GB2312" w:hAnsi="宋体" w:eastAsia="仿宋_GB2312" w:cs="宋体"/>
          <w:bCs/>
          <w:snapToGrid w:val="0"/>
          <w:color w:val="000000"/>
          <w:kern w:val="32"/>
          <w:sz w:val="32"/>
          <w:szCs w:val="32"/>
          <w:highlight w:val="none"/>
          <w:u w:val="none"/>
        </w:rPr>
        <w:t>有严重隐患</w:t>
      </w:r>
      <w:r>
        <w:rPr>
          <w:rFonts w:hint="eastAsia" w:ascii="仿宋_GB2312" w:hAnsi="宋体" w:eastAsia="仿宋_GB2312" w:cs="宋体"/>
          <w:bCs/>
          <w:snapToGrid w:val="0"/>
          <w:color w:val="000000"/>
          <w:kern w:val="32"/>
          <w:sz w:val="32"/>
          <w:szCs w:val="32"/>
          <w:highlight w:val="none"/>
          <w:u w:val="none"/>
          <w:lang w:val="en-US" w:eastAsia="zh-CN"/>
        </w:rPr>
        <w:t>或</w:t>
      </w:r>
      <w:r>
        <w:rPr>
          <w:rFonts w:hint="eastAsia" w:ascii="仿宋_GB2312" w:hAnsi="宋体" w:eastAsia="仿宋_GB2312" w:cs="宋体"/>
          <w:bCs/>
          <w:snapToGrid w:val="0"/>
          <w:color w:val="000000"/>
          <w:kern w:val="32"/>
          <w:sz w:val="32"/>
          <w:szCs w:val="32"/>
          <w:highlight w:val="none"/>
          <w:u w:val="none"/>
        </w:rPr>
        <w:t>一般隐患整改</w:t>
      </w:r>
      <w:r>
        <w:rPr>
          <w:rFonts w:hint="eastAsia" w:ascii="仿宋_GB2312" w:hAnsi="宋体" w:eastAsia="仿宋_GB2312" w:cs="宋体"/>
          <w:bCs/>
          <w:snapToGrid w:val="0"/>
          <w:color w:val="000000"/>
          <w:kern w:val="32"/>
          <w:sz w:val="32"/>
          <w:szCs w:val="32"/>
          <w:highlight w:val="none"/>
          <w:u w:val="none"/>
          <w:lang w:val="en-US" w:eastAsia="zh-CN"/>
        </w:rPr>
        <w:t>不</w:t>
      </w:r>
      <w:r>
        <w:rPr>
          <w:rFonts w:hint="eastAsia" w:ascii="仿宋_GB2312" w:hAnsi="宋体" w:eastAsia="仿宋_GB2312" w:cs="宋体"/>
          <w:bCs/>
          <w:snapToGrid w:val="0"/>
          <w:color w:val="000000"/>
          <w:kern w:val="32"/>
          <w:sz w:val="32"/>
          <w:szCs w:val="32"/>
          <w:highlight w:val="none"/>
          <w:u w:val="none"/>
        </w:rPr>
        <w:t>及时</w:t>
      </w:r>
      <w:r>
        <w:rPr>
          <w:rFonts w:hint="eastAsia" w:ascii="仿宋_GB2312" w:hAnsi="宋体" w:eastAsia="仿宋_GB2312" w:cs="宋体"/>
          <w:bCs/>
          <w:snapToGrid w:val="0"/>
          <w:color w:val="000000"/>
          <w:kern w:val="32"/>
          <w:sz w:val="32"/>
          <w:szCs w:val="32"/>
          <w:highlight w:val="none"/>
          <w:u w:val="none"/>
          <w:lang w:val="en-US" w:eastAsia="zh-CN"/>
        </w:rPr>
        <w:t>的设施，取消该站奖励资格；</w:t>
      </w:r>
      <w:r>
        <w:rPr>
          <w:rFonts w:hint="eastAsia" w:ascii="仿宋_GB2312" w:hAnsi="宋体" w:eastAsia="仿宋_GB2312" w:cs="宋体"/>
          <w:bCs/>
          <w:snapToGrid w:val="0"/>
          <w:color w:val="000000"/>
          <w:kern w:val="32"/>
          <w:sz w:val="32"/>
          <w:szCs w:val="32"/>
          <w:highlight w:val="none"/>
          <w:u w:val="none"/>
        </w:rPr>
        <w:t>情节严重的，取消申报单位本年度奖励资格</w:t>
      </w:r>
      <w:r>
        <w:rPr>
          <w:rFonts w:hint="eastAsia" w:ascii="仿宋_GB2312" w:hAnsi="宋体" w:eastAsia="仿宋_GB2312" w:cs="宋体"/>
          <w:bCs/>
          <w:snapToGrid w:val="0"/>
          <w:color w:val="000000"/>
          <w:kern w:val="32"/>
          <w:sz w:val="32"/>
          <w:szCs w:val="32"/>
          <w:highlight w:val="none"/>
          <w:u w:val="none"/>
          <w:lang w:val="en-US" w:eastAsia="zh-CN"/>
        </w:rPr>
        <w:t>。</w:t>
      </w:r>
      <w:r>
        <w:rPr>
          <w:rFonts w:hint="eastAsia" w:ascii="仿宋_GB2312" w:hAnsi="宋体" w:eastAsia="仿宋_GB2312" w:cs="宋体"/>
          <w:bCs/>
          <w:snapToGrid w:val="0"/>
          <w:color w:val="000000"/>
          <w:kern w:val="32"/>
          <w:sz w:val="32"/>
          <w:szCs w:val="32"/>
          <w:highlight w:val="none"/>
          <w:u w:val="none"/>
        </w:rPr>
        <w:t>针对充电精品示范区，按照政策要求开展绩效评价，确定奖励资格。针对“统建统服”试点项目，相关绩效评价要求详见《关于开展</w:t>
      </w:r>
      <w:r>
        <w:rPr>
          <w:rFonts w:ascii="仿宋_GB2312" w:hAnsi="宋体" w:eastAsia="仿宋_GB2312" w:cs="宋体"/>
          <w:bCs/>
          <w:snapToGrid w:val="0"/>
          <w:color w:val="000000"/>
          <w:kern w:val="32"/>
          <w:sz w:val="32"/>
          <w:szCs w:val="32"/>
          <w:highlight w:val="none"/>
          <w:u w:val="none"/>
        </w:rPr>
        <w:t>2023年度北京市居住区新能源汽车充电“统建统服”试点项目绩效评价的通知</w:t>
      </w:r>
      <w:r>
        <w:rPr>
          <w:rFonts w:hint="eastAsia" w:ascii="仿宋_GB2312" w:hAnsi="宋体" w:eastAsia="仿宋_GB2312" w:cs="宋体"/>
          <w:bCs/>
          <w:snapToGrid w:val="0"/>
          <w:color w:val="000000"/>
          <w:kern w:val="32"/>
          <w:sz w:val="32"/>
          <w:szCs w:val="32"/>
          <w:highlight w:val="none"/>
          <w:u w:val="none"/>
        </w:rPr>
        <w:t>》。</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楷体_GB2312" w:hAnsi="楷体_GB2312" w:eastAsia="楷体_GB2312" w:cs="楷体_GB2312"/>
          <w:bCs/>
          <w:snapToGrid w:val="0"/>
          <w:color w:val="000000"/>
          <w:kern w:val="32"/>
          <w:sz w:val="32"/>
          <w:szCs w:val="32"/>
        </w:rPr>
        <w:t>（五）订单审核。</w:t>
      </w:r>
      <w:r>
        <w:rPr>
          <w:rFonts w:hint="eastAsia" w:ascii="仿宋_GB2312" w:hAnsi="宋体" w:eastAsia="仿宋_GB2312" w:cs="宋体"/>
          <w:bCs/>
          <w:snapToGrid w:val="0"/>
          <w:color w:val="000000"/>
          <w:kern w:val="32"/>
          <w:sz w:val="32"/>
          <w:szCs w:val="32"/>
        </w:rPr>
        <w:t>针对申报运营奖励、电量奖励的充换电站，项目管理单位组织开展充换电</w:t>
      </w:r>
      <w:r>
        <w:rPr>
          <w:rFonts w:ascii="仿宋_GB2312" w:hAnsi="宋体" w:eastAsia="仿宋_GB2312" w:cs="宋体"/>
          <w:bCs/>
          <w:snapToGrid w:val="0"/>
          <w:color w:val="000000"/>
          <w:kern w:val="32"/>
          <w:sz w:val="32"/>
          <w:szCs w:val="32"/>
        </w:rPr>
        <w:t>订单审核</w:t>
      </w:r>
      <w:r>
        <w:rPr>
          <w:rFonts w:hint="eastAsia" w:ascii="仿宋_GB2312" w:hAnsi="宋体" w:eastAsia="仿宋_GB2312" w:cs="宋体"/>
          <w:bCs/>
          <w:snapToGrid w:val="0"/>
          <w:color w:val="000000"/>
          <w:kern w:val="32"/>
          <w:sz w:val="32"/>
          <w:szCs w:val="32"/>
        </w:rPr>
        <w:t>，具体如下</w:t>
      </w:r>
      <w:r>
        <w:rPr>
          <w:rFonts w:ascii="仿宋_GB2312" w:hAnsi="宋体" w:eastAsia="仿宋_GB2312" w:cs="宋体"/>
          <w:bCs/>
          <w:snapToGrid w:val="0"/>
          <w:color w:val="000000"/>
          <w:kern w:val="32"/>
          <w:sz w:val="32"/>
          <w:szCs w:val="32"/>
        </w:rPr>
        <w:t>：</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1.订单初筛。市级平台针对纳入奖励范围的充换电站，对充换电订单进行初筛，筛除存在充换电起止时间</w:t>
      </w:r>
      <w:r>
        <w:rPr>
          <w:rFonts w:ascii="仿宋_GB2312" w:hAnsi="宋体" w:eastAsia="仿宋_GB2312" w:cs="宋体"/>
          <w:bCs/>
          <w:snapToGrid w:val="0"/>
          <w:color w:val="000000"/>
          <w:kern w:val="32"/>
          <w:sz w:val="32"/>
          <w:szCs w:val="32"/>
        </w:rPr>
        <w:t>逻辑错误</w:t>
      </w:r>
      <w:r>
        <w:rPr>
          <w:rFonts w:hint="eastAsia" w:ascii="仿宋_GB2312" w:hAnsi="宋体" w:eastAsia="仿宋_GB2312" w:cs="宋体"/>
          <w:bCs/>
          <w:snapToGrid w:val="0"/>
          <w:color w:val="000000"/>
          <w:kern w:val="32"/>
          <w:sz w:val="32"/>
          <w:szCs w:val="32"/>
        </w:rPr>
        <w:t>、</w:t>
      </w:r>
      <w:r>
        <w:rPr>
          <w:rFonts w:ascii="仿宋_GB2312" w:hAnsi="宋体" w:eastAsia="仿宋_GB2312" w:cs="宋体"/>
          <w:bCs/>
          <w:snapToGrid w:val="0"/>
          <w:color w:val="000000"/>
          <w:kern w:val="32"/>
          <w:sz w:val="32"/>
          <w:szCs w:val="32"/>
        </w:rPr>
        <w:t>电表</w:t>
      </w:r>
      <w:r>
        <w:rPr>
          <w:rFonts w:hint="eastAsia" w:ascii="仿宋_GB2312" w:hAnsi="宋体" w:eastAsia="仿宋_GB2312" w:cs="宋体"/>
          <w:bCs/>
          <w:snapToGrid w:val="0"/>
          <w:color w:val="000000"/>
          <w:kern w:val="32"/>
          <w:sz w:val="32"/>
          <w:szCs w:val="32"/>
        </w:rPr>
        <w:t>读数</w:t>
      </w:r>
      <w:r>
        <w:rPr>
          <w:rFonts w:ascii="仿宋_GB2312" w:hAnsi="宋体" w:eastAsia="仿宋_GB2312" w:cs="宋体"/>
          <w:bCs/>
          <w:snapToGrid w:val="0"/>
          <w:color w:val="000000"/>
          <w:kern w:val="32"/>
          <w:sz w:val="32"/>
          <w:szCs w:val="32"/>
        </w:rPr>
        <w:t>起止值</w:t>
      </w:r>
      <w:r>
        <w:rPr>
          <w:rFonts w:hint="eastAsia" w:ascii="仿宋_GB2312" w:hAnsi="宋体" w:eastAsia="仿宋_GB2312" w:cs="宋体"/>
          <w:bCs/>
          <w:snapToGrid w:val="0"/>
          <w:color w:val="000000"/>
          <w:kern w:val="32"/>
          <w:sz w:val="32"/>
          <w:szCs w:val="32"/>
        </w:rPr>
        <w:t>逻辑</w:t>
      </w:r>
      <w:r>
        <w:rPr>
          <w:rFonts w:ascii="仿宋_GB2312" w:hAnsi="宋体" w:eastAsia="仿宋_GB2312" w:cs="宋体"/>
          <w:bCs/>
          <w:snapToGrid w:val="0"/>
          <w:color w:val="000000"/>
          <w:kern w:val="32"/>
          <w:sz w:val="32"/>
          <w:szCs w:val="32"/>
        </w:rPr>
        <w:t>错误</w:t>
      </w:r>
      <w:r>
        <w:rPr>
          <w:rFonts w:hint="eastAsia" w:ascii="仿宋_GB2312" w:hAnsi="宋体" w:eastAsia="仿宋_GB2312" w:cs="宋体"/>
          <w:bCs/>
          <w:snapToGrid w:val="0"/>
          <w:color w:val="000000"/>
          <w:kern w:val="32"/>
          <w:sz w:val="32"/>
          <w:szCs w:val="32"/>
        </w:rPr>
        <w:t>等情况</w:t>
      </w:r>
      <w:r>
        <w:rPr>
          <w:rFonts w:ascii="仿宋_GB2312" w:hAnsi="宋体" w:eastAsia="仿宋_GB2312" w:cs="宋体"/>
          <w:bCs/>
          <w:snapToGrid w:val="0"/>
          <w:color w:val="000000"/>
          <w:kern w:val="32"/>
          <w:sz w:val="32"/>
          <w:szCs w:val="32"/>
        </w:rPr>
        <w:t>的异常</w:t>
      </w:r>
      <w:r>
        <w:rPr>
          <w:rFonts w:hint="eastAsia" w:ascii="仿宋_GB2312" w:hAnsi="宋体" w:eastAsia="仿宋_GB2312" w:cs="宋体"/>
          <w:bCs/>
          <w:snapToGrid w:val="0"/>
          <w:color w:val="000000"/>
          <w:kern w:val="32"/>
          <w:sz w:val="32"/>
          <w:szCs w:val="32"/>
        </w:rPr>
        <w:t>订单，通过初筛的纳入订单库</w:t>
      </w:r>
      <w:r>
        <w:rPr>
          <w:rFonts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rPr>
        <w:t>形成初筛报告，提交至项目管理单位。</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2.材料提交。</w:t>
      </w:r>
      <w:r>
        <w:rPr>
          <w:rFonts w:ascii="仿宋_GB2312" w:hAnsi="宋体" w:eastAsia="仿宋_GB2312" w:cs="宋体"/>
          <w:bCs/>
          <w:snapToGrid w:val="0"/>
          <w:color w:val="000000"/>
          <w:kern w:val="32"/>
          <w:sz w:val="32"/>
          <w:szCs w:val="32"/>
        </w:rPr>
        <w:t>申报单位从订单库中自行选取订单，以充</w:t>
      </w:r>
      <w:r>
        <w:rPr>
          <w:rFonts w:hint="eastAsia" w:ascii="仿宋_GB2312" w:hAnsi="宋体" w:eastAsia="仿宋_GB2312" w:cs="宋体"/>
          <w:bCs/>
          <w:snapToGrid w:val="0"/>
          <w:color w:val="000000"/>
          <w:kern w:val="32"/>
          <w:sz w:val="32"/>
          <w:szCs w:val="32"/>
        </w:rPr>
        <w:t>换</w:t>
      </w:r>
      <w:r>
        <w:rPr>
          <w:rFonts w:ascii="仿宋_GB2312" w:hAnsi="宋体" w:eastAsia="仿宋_GB2312" w:cs="宋体"/>
          <w:bCs/>
          <w:snapToGrid w:val="0"/>
          <w:color w:val="000000"/>
          <w:kern w:val="32"/>
          <w:sz w:val="32"/>
          <w:szCs w:val="32"/>
        </w:rPr>
        <w:t>电站为单元，</w:t>
      </w:r>
      <w:r>
        <w:rPr>
          <w:rFonts w:hint="eastAsia" w:ascii="仿宋_GB2312" w:hAnsi="宋体" w:eastAsia="仿宋_GB2312" w:cs="宋体"/>
          <w:bCs/>
          <w:snapToGrid w:val="0"/>
          <w:color w:val="000000"/>
          <w:kern w:val="32"/>
          <w:sz w:val="32"/>
          <w:szCs w:val="32"/>
        </w:rPr>
        <w:t>汇总整理订单申请明细表（从市级平台导出）、对应电量确认单、电费发票等材料，</w:t>
      </w:r>
      <w:r>
        <w:rPr>
          <w:rFonts w:ascii="仿宋_GB2312" w:hAnsi="宋体" w:eastAsia="仿宋_GB2312" w:cs="宋体"/>
          <w:bCs/>
          <w:snapToGrid w:val="0"/>
          <w:color w:val="000000"/>
          <w:kern w:val="32"/>
          <w:sz w:val="32"/>
          <w:szCs w:val="32"/>
        </w:rPr>
        <w:t>提交至项目管理单位</w:t>
      </w:r>
      <w:r>
        <w:rPr>
          <w:rFonts w:hint="eastAsia" w:ascii="仿宋_GB2312" w:hAnsi="宋体" w:eastAsia="仿宋_GB2312" w:cs="宋体"/>
          <w:bCs/>
          <w:snapToGrid w:val="0"/>
          <w:color w:val="000000"/>
          <w:kern w:val="32"/>
          <w:sz w:val="32"/>
          <w:szCs w:val="32"/>
        </w:rPr>
        <w:t>。</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3.票据</w:t>
      </w:r>
      <w:r>
        <w:rPr>
          <w:rFonts w:ascii="仿宋_GB2312" w:hAnsi="宋体" w:eastAsia="仿宋_GB2312" w:cs="宋体"/>
          <w:bCs/>
          <w:snapToGrid w:val="0"/>
          <w:color w:val="000000"/>
          <w:kern w:val="32"/>
          <w:sz w:val="32"/>
          <w:szCs w:val="32"/>
        </w:rPr>
        <w:t>审核。项目管理单位结合</w:t>
      </w:r>
      <w:r>
        <w:rPr>
          <w:rFonts w:hint="eastAsia" w:ascii="仿宋_GB2312" w:hAnsi="宋体" w:eastAsia="仿宋_GB2312" w:cs="宋体"/>
          <w:bCs/>
          <w:snapToGrid w:val="0"/>
          <w:color w:val="000000"/>
          <w:kern w:val="32"/>
          <w:sz w:val="32"/>
          <w:szCs w:val="32"/>
        </w:rPr>
        <w:t>订单</w:t>
      </w:r>
      <w:r>
        <w:rPr>
          <w:rFonts w:ascii="仿宋_GB2312" w:hAnsi="宋体" w:eastAsia="仿宋_GB2312" w:cs="宋体"/>
          <w:bCs/>
          <w:snapToGrid w:val="0"/>
          <w:color w:val="000000"/>
          <w:kern w:val="32"/>
          <w:sz w:val="32"/>
          <w:szCs w:val="32"/>
        </w:rPr>
        <w:t>申请明细表，</w:t>
      </w:r>
      <w:r>
        <w:rPr>
          <w:rFonts w:hint="eastAsia" w:ascii="仿宋_GB2312" w:hAnsi="宋体" w:eastAsia="仿宋_GB2312" w:cs="宋体"/>
          <w:bCs/>
          <w:snapToGrid w:val="0"/>
          <w:color w:val="000000"/>
          <w:kern w:val="32"/>
          <w:sz w:val="32"/>
          <w:szCs w:val="32"/>
        </w:rPr>
        <w:t>对电量确认单、电费发票等材料完整性、</w:t>
      </w:r>
      <w:r>
        <w:rPr>
          <w:rFonts w:ascii="仿宋_GB2312" w:hAnsi="宋体" w:eastAsia="仿宋_GB2312" w:cs="宋体"/>
          <w:bCs/>
          <w:snapToGrid w:val="0"/>
          <w:color w:val="000000"/>
          <w:kern w:val="32"/>
          <w:sz w:val="32"/>
          <w:szCs w:val="32"/>
        </w:rPr>
        <w:t>合规性进行审核</w:t>
      </w:r>
      <w:r>
        <w:rPr>
          <w:rFonts w:hint="eastAsia" w:ascii="仿宋_GB2312" w:hAnsi="宋体" w:eastAsia="仿宋_GB2312" w:cs="宋体"/>
          <w:bCs/>
          <w:snapToGrid w:val="0"/>
          <w:color w:val="000000"/>
          <w:kern w:val="32"/>
          <w:sz w:val="32"/>
          <w:szCs w:val="32"/>
        </w:rPr>
        <w:t>。</w:t>
      </w:r>
    </w:p>
    <w:p>
      <w:pPr>
        <w:spacing w:line="560" w:lineRule="exact"/>
        <w:ind w:firstLine="640" w:firstLineChars="200"/>
        <w:rPr>
          <w:rFonts w:ascii="宋体" w:hAnsi="宋体" w:eastAsia="仿宋_GB2312" w:cs="仿宋_GB2312"/>
          <w:snapToGrid w:val="0"/>
          <w:kern w:val="32"/>
          <w:sz w:val="32"/>
          <w:szCs w:val="32"/>
        </w:rPr>
      </w:pPr>
      <w:r>
        <w:rPr>
          <w:rFonts w:hint="eastAsia" w:ascii="楷体_GB2312" w:hAnsi="楷体_GB2312" w:eastAsia="楷体_GB2312" w:cs="楷体_GB2312"/>
          <w:bCs/>
          <w:snapToGrid w:val="0"/>
          <w:color w:val="000000"/>
          <w:kern w:val="32"/>
          <w:sz w:val="32"/>
          <w:szCs w:val="32"/>
        </w:rPr>
        <w:t>（六）验收评审。</w:t>
      </w:r>
      <w:r>
        <w:rPr>
          <w:rFonts w:hint="eastAsia" w:ascii="仿宋_GB2312" w:hAnsi="宋体" w:eastAsia="仿宋_GB2312" w:cs="宋体"/>
          <w:bCs/>
          <w:snapToGrid w:val="0"/>
          <w:color w:val="000000"/>
          <w:kern w:val="32"/>
          <w:sz w:val="32"/>
          <w:szCs w:val="32"/>
        </w:rPr>
        <w:t>项目管理单位分</w:t>
      </w:r>
      <w:r>
        <w:rPr>
          <w:rFonts w:ascii="仿宋_GB2312" w:hAnsi="宋体" w:eastAsia="仿宋_GB2312" w:cs="宋体"/>
          <w:bCs/>
          <w:snapToGrid w:val="0"/>
          <w:color w:val="000000"/>
          <w:kern w:val="32"/>
          <w:sz w:val="32"/>
          <w:szCs w:val="32"/>
        </w:rPr>
        <w:t>批次</w:t>
      </w:r>
      <w:r>
        <w:rPr>
          <w:rFonts w:hint="eastAsia" w:ascii="仿宋_GB2312" w:hAnsi="宋体" w:eastAsia="仿宋_GB2312" w:cs="宋体"/>
          <w:bCs/>
          <w:snapToGrid w:val="0"/>
          <w:color w:val="000000"/>
          <w:kern w:val="32"/>
          <w:sz w:val="32"/>
          <w:szCs w:val="32"/>
        </w:rPr>
        <w:t>组织召开</w:t>
      </w:r>
      <w:r>
        <w:rPr>
          <w:rFonts w:ascii="仿宋_GB2312" w:hAnsi="宋体" w:eastAsia="仿宋_GB2312" w:cs="宋体"/>
          <w:bCs/>
          <w:snapToGrid w:val="0"/>
          <w:color w:val="000000"/>
          <w:kern w:val="32"/>
          <w:sz w:val="32"/>
          <w:szCs w:val="32"/>
        </w:rPr>
        <w:t>专家评审会，</w:t>
      </w:r>
      <w:r>
        <w:rPr>
          <w:rFonts w:hint="eastAsia" w:ascii="仿宋_GB2312" w:hAnsi="宋体" w:eastAsia="仿宋_GB2312" w:cs="宋体"/>
          <w:bCs/>
          <w:snapToGrid w:val="0"/>
          <w:color w:val="000000"/>
          <w:kern w:val="32"/>
          <w:sz w:val="32"/>
          <w:szCs w:val="32"/>
        </w:rPr>
        <w:t>对申报项目</w:t>
      </w:r>
      <w:r>
        <w:rPr>
          <w:rFonts w:ascii="仿宋_GB2312" w:hAnsi="宋体" w:eastAsia="仿宋_GB2312" w:cs="宋体"/>
          <w:bCs/>
          <w:snapToGrid w:val="0"/>
          <w:color w:val="000000"/>
          <w:kern w:val="32"/>
          <w:sz w:val="32"/>
          <w:szCs w:val="32"/>
        </w:rPr>
        <w:t>的材料</w:t>
      </w:r>
      <w:r>
        <w:rPr>
          <w:rFonts w:hint="eastAsia" w:ascii="仿宋_GB2312" w:hAnsi="宋体" w:eastAsia="仿宋_GB2312" w:cs="宋体"/>
          <w:bCs/>
          <w:snapToGrid w:val="0"/>
          <w:color w:val="000000"/>
          <w:kern w:val="32"/>
          <w:sz w:val="32"/>
          <w:szCs w:val="32"/>
        </w:rPr>
        <w:t>初审、平台监测、</w:t>
      </w:r>
      <w:r>
        <w:rPr>
          <w:rFonts w:ascii="仿宋_GB2312" w:hAnsi="宋体" w:eastAsia="仿宋_GB2312" w:cs="宋体"/>
          <w:bCs/>
          <w:snapToGrid w:val="0"/>
          <w:color w:val="000000"/>
          <w:kern w:val="32"/>
          <w:sz w:val="32"/>
          <w:szCs w:val="32"/>
        </w:rPr>
        <w:t>现场核查</w:t>
      </w:r>
      <w:r>
        <w:rPr>
          <w:rFonts w:hint="eastAsia" w:ascii="仿宋_GB2312" w:hAnsi="宋体" w:eastAsia="仿宋_GB2312" w:cs="宋体"/>
          <w:bCs/>
          <w:snapToGrid w:val="0"/>
          <w:color w:val="000000"/>
          <w:kern w:val="32"/>
          <w:sz w:val="32"/>
          <w:szCs w:val="32"/>
        </w:rPr>
        <w:t>、考核评价及</w:t>
      </w:r>
      <w:r>
        <w:rPr>
          <w:rFonts w:ascii="仿宋_GB2312" w:hAnsi="宋体" w:eastAsia="仿宋_GB2312" w:cs="宋体"/>
          <w:bCs/>
          <w:snapToGrid w:val="0"/>
          <w:color w:val="000000"/>
          <w:kern w:val="32"/>
          <w:sz w:val="32"/>
          <w:szCs w:val="32"/>
        </w:rPr>
        <w:t>订单审核</w:t>
      </w:r>
      <w:r>
        <w:rPr>
          <w:rFonts w:hint="eastAsia" w:ascii="仿宋_GB2312" w:hAnsi="宋体" w:eastAsia="仿宋_GB2312" w:cs="宋体"/>
          <w:bCs/>
          <w:snapToGrid w:val="0"/>
          <w:color w:val="000000"/>
          <w:kern w:val="32"/>
          <w:sz w:val="32"/>
          <w:szCs w:val="32"/>
        </w:rPr>
        <w:t>等</w:t>
      </w:r>
      <w:r>
        <w:rPr>
          <w:rFonts w:ascii="仿宋_GB2312" w:hAnsi="宋体" w:eastAsia="仿宋_GB2312" w:cs="宋体"/>
          <w:bCs/>
          <w:snapToGrid w:val="0"/>
          <w:color w:val="000000"/>
          <w:kern w:val="32"/>
          <w:sz w:val="32"/>
          <w:szCs w:val="32"/>
        </w:rPr>
        <w:t>情况</w:t>
      </w:r>
      <w:r>
        <w:rPr>
          <w:rFonts w:hint="eastAsia" w:ascii="仿宋_GB2312" w:hAnsi="宋体" w:eastAsia="仿宋_GB2312" w:cs="宋体"/>
          <w:bCs/>
          <w:snapToGrid w:val="0"/>
          <w:color w:val="000000"/>
          <w:kern w:val="32"/>
          <w:sz w:val="32"/>
          <w:szCs w:val="32"/>
        </w:rPr>
        <w:t>进行最终评审，形成</w:t>
      </w:r>
      <w:r>
        <w:rPr>
          <w:rFonts w:ascii="仿宋_GB2312" w:hAnsi="宋体" w:eastAsia="仿宋_GB2312" w:cs="宋体"/>
          <w:bCs/>
          <w:snapToGrid w:val="0"/>
          <w:color w:val="000000"/>
          <w:kern w:val="32"/>
          <w:sz w:val="32"/>
          <w:szCs w:val="32"/>
        </w:rPr>
        <w:t>专家意见，</w:t>
      </w:r>
      <w:r>
        <w:rPr>
          <w:rFonts w:hint="eastAsia" w:ascii="仿宋_GB2312" w:hAnsi="宋体" w:eastAsia="仿宋_GB2312" w:cs="宋体"/>
          <w:bCs/>
          <w:snapToGrid w:val="0"/>
          <w:color w:val="000000"/>
          <w:kern w:val="32"/>
          <w:sz w:val="32"/>
          <w:szCs w:val="32"/>
        </w:rPr>
        <w:t>并编制</w:t>
      </w:r>
      <w:r>
        <w:rPr>
          <w:rFonts w:ascii="仿宋_GB2312" w:hAnsi="宋体" w:eastAsia="仿宋_GB2312" w:cs="宋体"/>
          <w:bCs/>
          <w:snapToGrid w:val="0"/>
          <w:color w:val="000000"/>
          <w:kern w:val="32"/>
          <w:sz w:val="32"/>
          <w:szCs w:val="32"/>
        </w:rPr>
        <w:t>形成</w:t>
      </w:r>
      <w:r>
        <w:rPr>
          <w:rFonts w:hint="eastAsia" w:ascii="仿宋_GB2312" w:hAnsi="宋体" w:eastAsia="仿宋_GB2312" w:cs="宋体"/>
          <w:bCs/>
          <w:snapToGrid w:val="0"/>
          <w:color w:val="000000"/>
          <w:kern w:val="32"/>
          <w:sz w:val="32"/>
          <w:szCs w:val="32"/>
        </w:rPr>
        <w:t>年度考核评价及</w:t>
      </w:r>
      <w:r>
        <w:rPr>
          <w:rFonts w:ascii="仿宋_GB2312" w:hAnsi="宋体" w:eastAsia="仿宋_GB2312" w:cs="宋体"/>
          <w:bCs/>
          <w:snapToGrid w:val="0"/>
          <w:color w:val="000000"/>
          <w:kern w:val="32"/>
          <w:sz w:val="32"/>
          <w:szCs w:val="32"/>
        </w:rPr>
        <w:t>验收评审报告</w:t>
      </w:r>
      <w:r>
        <w:rPr>
          <w:rFonts w:hint="eastAsia" w:ascii="仿宋_GB2312" w:hAnsi="宋体" w:eastAsia="仿宋_GB2312" w:cs="宋体"/>
          <w:bCs/>
          <w:snapToGrid w:val="0"/>
          <w:color w:val="000000"/>
          <w:kern w:val="32"/>
          <w:sz w:val="32"/>
          <w:szCs w:val="32"/>
        </w:rPr>
        <w:t>，提交至我委。</w:t>
      </w:r>
    </w:p>
    <w:p>
      <w:pPr>
        <w:keepNext/>
        <w:keepLines/>
        <w:spacing w:line="560" w:lineRule="exact"/>
        <w:ind w:firstLine="640" w:firstLineChars="200"/>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六、资金发放</w:t>
      </w:r>
    </w:p>
    <w:p>
      <w:pPr>
        <w:spacing w:line="560" w:lineRule="exact"/>
        <w:ind w:firstLine="640" w:firstLineChars="200"/>
        <w:rPr>
          <w:rFonts w:ascii="仿宋_GB2312" w:hAnsi="宋体" w:eastAsia="仿宋_GB2312" w:cs="宋体"/>
          <w:bCs/>
          <w:snapToGrid w:val="0"/>
          <w:color w:val="000000"/>
          <w:kern w:val="32"/>
          <w:sz w:val="32"/>
          <w:szCs w:val="32"/>
        </w:rPr>
      </w:pPr>
      <w:r>
        <w:rPr>
          <w:rFonts w:ascii="仿宋_GB2312" w:hAnsi="宋体" w:eastAsia="仿宋_GB2312" w:cs="宋体"/>
          <w:bCs/>
          <w:snapToGrid w:val="0"/>
          <w:color w:val="000000"/>
          <w:kern w:val="32"/>
          <w:sz w:val="32"/>
          <w:szCs w:val="32"/>
        </w:rPr>
        <w:t>我委将充</w:t>
      </w:r>
      <w:r>
        <w:rPr>
          <w:rFonts w:hint="eastAsia" w:ascii="仿宋_GB2312" w:hAnsi="宋体" w:eastAsia="仿宋_GB2312" w:cs="宋体"/>
          <w:bCs/>
          <w:snapToGrid w:val="0"/>
          <w:color w:val="000000"/>
          <w:kern w:val="32"/>
          <w:sz w:val="32"/>
          <w:szCs w:val="32"/>
        </w:rPr>
        <w:t>换</w:t>
      </w:r>
      <w:r>
        <w:rPr>
          <w:rFonts w:ascii="仿宋_GB2312" w:hAnsi="宋体" w:eastAsia="仿宋_GB2312" w:cs="宋体"/>
          <w:bCs/>
          <w:snapToGrid w:val="0"/>
          <w:color w:val="000000"/>
          <w:kern w:val="32"/>
          <w:sz w:val="32"/>
          <w:szCs w:val="32"/>
        </w:rPr>
        <w:t>电</w:t>
      </w:r>
      <w:r>
        <w:rPr>
          <w:rFonts w:hint="eastAsia" w:ascii="仿宋_GB2312" w:hAnsi="宋体" w:eastAsia="仿宋_GB2312" w:cs="宋体"/>
          <w:bCs/>
          <w:snapToGrid w:val="0"/>
          <w:color w:val="000000"/>
          <w:kern w:val="32"/>
          <w:sz w:val="32"/>
          <w:szCs w:val="32"/>
        </w:rPr>
        <w:t>设施</w:t>
      </w:r>
      <w:r>
        <w:rPr>
          <w:rFonts w:ascii="仿宋_GB2312" w:hAnsi="宋体" w:eastAsia="仿宋_GB2312" w:cs="宋体"/>
          <w:bCs/>
          <w:snapToGrid w:val="0"/>
          <w:color w:val="000000"/>
          <w:kern w:val="32"/>
          <w:sz w:val="32"/>
          <w:szCs w:val="32"/>
        </w:rPr>
        <w:t>评审结果</w:t>
      </w:r>
      <w:r>
        <w:rPr>
          <w:rFonts w:hint="eastAsia" w:ascii="仿宋_GB2312" w:hAnsi="宋体" w:eastAsia="仿宋_GB2312" w:cs="宋体"/>
          <w:bCs/>
          <w:snapToGrid w:val="0"/>
          <w:color w:val="000000"/>
          <w:kern w:val="32"/>
          <w:sz w:val="32"/>
          <w:szCs w:val="32"/>
        </w:rPr>
        <w:t>在官网公示5个自然日，无异议后，按程序发放奖励资金。当年奖励资金不足的，在下一年奖励资金中安排。</w:t>
      </w:r>
    </w:p>
    <w:p>
      <w:pPr>
        <w:keepNext/>
        <w:keepLines/>
        <w:spacing w:line="560" w:lineRule="exact"/>
        <w:ind w:firstLine="640" w:firstLineChars="200"/>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七、监督管理</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（一）对本年度获得奖励支持的充换电设施，若出现拆除等情况，申报单位应及时将有关情况报送至我委。若未及时报送，将根据相关情况进行调查处理。</w:t>
      </w:r>
    </w:p>
    <w:p>
      <w:pPr>
        <w:spacing w:line="560" w:lineRule="exact"/>
        <w:ind w:firstLine="640" w:firstLineChars="200"/>
        <w:rPr>
          <w:rFonts w:hint="eastAsia" w:ascii="仿宋_GB2312" w:hAnsi="宋体" w:eastAsia="仿宋_GB2312" w:cs="宋体"/>
          <w:bCs/>
          <w:snapToGrid w:val="0"/>
          <w:color w:val="000000"/>
          <w:kern w:val="32"/>
          <w:sz w:val="32"/>
          <w:szCs w:val="32"/>
          <w:highlight w:val="yellow"/>
        </w:rPr>
      </w:pPr>
      <w:r>
        <w:rPr>
          <w:rFonts w:hint="eastAsia" w:ascii="仿宋_GB2312" w:hAnsi="宋体" w:eastAsia="仿宋_GB2312" w:cs="宋体"/>
          <w:bCs/>
          <w:snapToGrid w:val="0"/>
          <w:color w:val="000000"/>
          <w:kern w:val="32"/>
          <w:sz w:val="32"/>
          <w:szCs w:val="32"/>
        </w:rPr>
        <w:t>（二）对提供虚假信息、骗取财政资金的单位，我委将取消其本年度及</w:t>
      </w:r>
      <w:r>
        <w:rPr>
          <w:rFonts w:hint="eastAsia" w:ascii="仿宋_GB2312" w:hAnsi="宋体" w:eastAsia="仿宋_GB2312" w:cs="宋体"/>
          <w:bCs/>
          <w:snapToGrid w:val="0"/>
          <w:color w:val="000000"/>
          <w:kern w:val="32"/>
          <w:sz w:val="32"/>
          <w:szCs w:val="32"/>
          <w:highlight w:val="none"/>
        </w:rPr>
        <w:t>后续各项充换电设施奖励资金申报资格</w:t>
      </w:r>
      <w:r>
        <w:rPr>
          <w:rFonts w:hint="eastAsia" w:ascii="仿宋_GB2312" w:hAnsi="宋体" w:eastAsia="仿宋_GB2312" w:cs="宋体"/>
          <w:bCs/>
          <w:snapToGrid w:val="0"/>
          <w:color w:val="000000"/>
          <w:kern w:val="32"/>
          <w:sz w:val="32"/>
          <w:szCs w:val="32"/>
          <w:highlight w:val="none"/>
          <w:lang w:eastAsia="zh-CN"/>
        </w:rPr>
        <w:t>，</w:t>
      </w:r>
      <w:r>
        <w:rPr>
          <w:rFonts w:hint="eastAsia" w:ascii="仿宋_GB2312" w:hAnsi="宋体" w:eastAsia="仿宋_GB2312" w:cs="宋体"/>
          <w:bCs/>
          <w:snapToGrid w:val="0"/>
          <w:color w:val="000000"/>
          <w:kern w:val="32"/>
          <w:sz w:val="32"/>
          <w:szCs w:val="32"/>
          <w:highlight w:val="none"/>
        </w:rPr>
        <w:t>并依法依规追回发放</w:t>
      </w:r>
      <w:r>
        <w:rPr>
          <w:rFonts w:hint="eastAsia" w:ascii="仿宋_GB2312" w:hAnsi="宋体" w:eastAsia="仿宋_GB2312" w:cs="宋体"/>
          <w:bCs/>
          <w:snapToGrid w:val="0"/>
          <w:color w:val="000000"/>
          <w:kern w:val="32"/>
          <w:sz w:val="32"/>
          <w:szCs w:val="32"/>
          <w:highlight w:val="none"/>
          <w:lang w:eastAsia="zh-CN"/>
        </w:rPr>
        <w:t>奖励资金</w:t>
      </w:r>
      <w:r>
        <w:rPr>
          <w:rFonts w:hint="eastAsia" w:ascii="仿宋_GB2312" w:hAnsi="宋体" w:eastAsia="仿宋_GB2312" w:cs="宋体"/>
          <w:bCs/>
          <w:snapToGrid w:val="0"/>
          <w:color w:val="000000"/>
          <w:kern w:val="32"/>
          <w:sz w:val="32"/>
          <w:szCs w:val="32"/>
          <w:highlight w:val="none"/>
        </w:rPr>
        <w:t>、追究法律责任。</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特此通知。</w:t>
      </w:r>
    </w:p>
    <w:p>
      <w:pPr>
        <w:pStyle w:val="18"/>
      </w:pP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附件：1.名词解释</w:t>
      </w:r>
    </w:p>
    <w:p>
      <w:pPr>
        <w:spacing w:line="560" w:lineRule="exact"/>
        <w:ind w:firstLine="1600" w:firstLineChars="500"/>
        <w:rPr>
          <w:rFonts w:hint="eastAsia"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2.2023年度北京市电动汽车充换电设施建设运</w:t>
      </w:r>
    </w:p>
    <w:p>
      <w:pPr>
        <w:spacing w:line="560" w:lineRule="exact"/>
        <w:ind w:firstLine="1920" w:firstLineChars="600"/>
        <w:rPr>
          <w:rFonts w:hint="eastAsia"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营奖励项目申报书</w:t>
      </w:r>
    </w:p>
    <w:p>
      <w:pPr>
        <w:spacing w:line="560" w:lineRule="exact"/>
        <w:ind w:left="1916" w:leftChars="760" w:hanging="320" w:hangingChars="100"/>
        <w:rPr>
          <w:rFonts w:ascii="黑体" w:hAnsi="黑体" w:eastAsia="黑体" w:cs="黑体"/>
          <w:sz w:val="32"/>
        </w:rPr>
      </w:pPr>
      <w:r>
        <w:rPr>
          <w:rFonts w:hint="eastAsia" w:ascii="仿宋_GB2312" w:hAnsi="宋体" w:eastAsia="仿宋_GB2312" w:cs="宋体"/>
          <w:bCs/>
          <w:snapToGrid w:val="0"/>
          <w:color w:val="000000"/>
          <w:kern w:val="32"/>
          <w:sz w:val="32"/>
          <w:szCs w:val="32"/>
          <w:lang w:val="en-US" w:eastAsia="zh-CN"/>
        </w:rPr>
        <w:t>3</w:t>
      </w:r>
      <w:r>
        <w:rPr>
          <w:rFonts w:hint="eastAsia" w:ascii="仿宋_GB2312" w:hAnsi="宋体" w:eastAsia="仿宋_GB2312" w:cs="宋体"/>
          <w:bCs/>
          <w:snapToGrid w:val="0"/>
          <w:color w:val="000000"/>
          <w:kern w:val="32"/>
          <w:sz w:val="32"/>
          <w:szCs w:val="32"/>
        </w:rPr>
        <w:t>.2023年度北京市电动汽车充换电站考核评价方法</w:t>
      </w:r>
    </w:p>
    <w:p>
      <w:pPr>
        <w:spacing w:line="560" w:lineRule="exact"/>
        <w:ind w:firstLine="640" w:firstLineChars="200"/>
        <w:rPr>
          <w:rFonts w:ascii="仿宋_GB2312" w:hAnsi="宋体" w:eastAsia="仿宋_GB2312" w:cs="宋体"/>
          <w:bCs/>
          <w:snapToGrid w:val="0"/>
          <w:color w:val="000000"/>
          <w:kern w:val="32"/>
          <w:sz w:val="32"/>
          <w:szCs w:val="32"/>
        </w:rPr>
        <w:sectPr>
          <w:footerReference r:id="rId3" w:type="default"/>
          <w:pgSz w:w="11906" w:h="16838"/>
          <w:pgMar w:top="1440" w:right="1800" w:bottom="1440" w:left="1800" w:header="851" w:footer="992" w:gutter="0"/>
          <w:pgNumType w:fmt="decimal"/>
          <w:cols w:space="720" w:num="1"/>
          <w:docGrid w:type="lines" w:linePitch="312" w:charSpace="0"/>
        </w:sectPr>
      </w:pPr>
    </w:p>
    <w:p>
      <w:pPr>
        <w:keepNext/>
        <w:keepLines/>
        <w:spacing w:line="560" w:lineRule="exact"/>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附件1</w:t>
      </w:r>
    </w:p>
    <w:p>
      <w:pPr>
        <w:pStyle w:val="2"/>
        <w:outlineLvl w:val="0"/>
        <w:rPr>
          <w:rFonts w:ascii="方正小标宋简体" w:hAnsi="方正小标宋简体" w:eastAsia="方正小标宋简体" w:cs="方正小标宋简体"/>
          <w:b w:val="0"/>
          <w:bCs w:val="0"/>
          <w:szCs w:val="36"/>
        </w:rPr>
      </w:pPr>
      <w:r>
        <w:rPr>
          <w:rFonts w:hint="eastAsia" w:ascii="方正小标宋简体" w:hAnsi="方正小标宋简体" w:eastAsia="方正小标宋简体" w:cs="方正小标宋简体"/>
          <w:b w:val="0"/>
          <w:bCs w:val="0"/>
          <w:szCs w:val="36"/>
        </w:rPr>
        <w:t>名词解释</w:t>
      </w:r>
    </w:p>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1.</w:t>
      </w:r>
      <w:r>
        <w:rPr>
          <w:rFonts w:hint="eastAsia" w:ascii="仿宋_GB2312" w:hAnsi="仿宋_GB2312" w:eastAsia="仿宋_GB2312" w:cs="仿宋_GB2312"/>
          <w:snapToGrid w:val="0"/>
          <w:kern w:val="32"/>
          <w:sz w:val="32"/>
          <w:szCs w:val="22"/>
        </w:rPr>
        <w:t>单位内部充电设施，指</w:t>
      </w:r>
      <w:r>
        <w:rPr>
          <w:rFonts w:hint="eastAsia" w:ascii="仿宋_GB2312" w:hAnsi="宋体" w:eastAsia="仿宋_GB2312" w:cs="宋体"/>
          <w:bCs/>
          <w:snapToGrid w:val="0"/>
          <w:color w:val="000000"/>
          <w:kern w:val="32"/>
          <w:sz w:val="32"/>
          <w:szCs w:val="32"/>
        </w:rPr>
        <w:t>在各级政府机关、事业单位、社会团体、企业单位内部停车场建设，主要供本单位及职工自有电动汽车使用的充电设施，不包括通勤</w:t>
      </w:r>
      <w:r>
        <w:rPr>
          <w:rFonts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rPr>
        <w:t>公交、环卫、出租、邮政、物流、租赁、4S店等单位在专用场站内建设的服务于各专用车辆、营运车辆的充电设施。其中，每天对外开放时长不少于8小时，且对外开放天数不少于90天/年的，视为对外开放的单位内部充电设施。</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2.</w:t>
      </w:r>
      <w:r>
        <w:rPr>
          <w:rFonts w:ascii="仿宋_GB2312" w:hAnsi="宋体" w:eastAsia="仿宋_GB2312" w:cs="宋体"/>
          <w:bCs/>
          <w:snapToGrid w:val="0"/>
          <w:color w:val="000000"/>
          <w:kern w:val="32"/>
          <w:sz w:val="32"/>
          <w:szCs w:val="32"/>
          <w:highlight w:val="none"/>
          <w:u w:val="none"/>
        </w:rPr>
        <w:t>“统建统服”</w:t>
      </w:r>
      <w:r>
        <w:rPr>
          <w:rFonts w:hint="eastAsia" w:ascii="仿宋_GB2312" w:hAnsi="宋体" w:eastAsia="仿宋_GB2312" w:cs="宋体"/>
          <w:bCs/>
          <w:snapToGrid w:val="0"/>
          <w:color w:val="000000"/>
          <w:kern w:val="32"/>
          <w:sz w:val="32"/>
          <w:szCs w:val="32"/>
          <w:highlight w:val="none"/>
          <w:u w:val="none"/>
        </w:rPr>
        <w:t>试点项目，指在居住区及周边</w:t>
      </w:r>
      <w:r>
        <w:rPr>
          <w:rFonts w:hint="eastAsia" w:ascii="仿宋_GB2312" w:hAnsi="仿宋_GB2312" w:eastAsia="仿宋_GB2312" w:cs="仿宋_GB2312"/>
          <w:snapToGrid w:val="0"/>
          <w:kern w:val="32"/>
          <w:sz w:val="32"/>
          <w:szCs w:val="32"/>
          <w:highlight w:val="none"/>
          <w:u w:val="none"/>
        </w:rPr>
        <w:t>，挖掘居住区内外边角空地、公共停车场等场所资源，为居住区新能源汽车用户提供“三个5”（找桩距离不大于500米、服务费不高于0.5元、排队时间不长于5分钟）、“四个创新”（智慧选址、价格优惠、预约即得、安全提示）的充电服务，</w:t>
      </w:r>
      <w:r>
        <w:rPr>
          <w:rFonts w:hint="eastAsia" w:ascii="仿宋_GB2312" w:hAnsi="仿宋_GB2312" w:eastAsia="仿宋_GB2312" w:cs="仿宋_GB2312"/>
          <w:bCs/>
          <w:snapToGrid w:val="0"/>
          <w:color w:val="000000"/>
          <w:kern w:val="32"/>
          <w:sz w:val="32"/>
          <w:szCs w:val="32"/>
          <w:highlight w:val="none"/>
          <w:u w:val="none"/>
        </w:rPr>
        <w:t>成功入围并通过建设验收、绩效评价的试点项目</w:t>
      </w:r>
      <w:r>
        <w:rPr>
          <w:rFonts w:hint="eastAsia" w:ascii="仿宋_GB2312" w:hAnsi="宋体" w:eastAsia="仿宋_GB2312" w:cs="宋体"/>
          <w:bCs/>
          <w:snapToGrid w:val="0"/>
          <w:color w:val="000000"/>
          <w:kern w:val="32"/>
          <w:sz w:val="32"/>
          <w:szCs w:val="32"/>
          <w:highlight w:val="none"/>
          <w:u w:val="none"/>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napToGrid w:val="0"/>
          <w:kern w:val="32"/>
          <w:sz w:val="32"/>
          <w:szCs w:val="22"/>
        </w:rPr>
        <w:t>3.</w:t>
      </w:r>
      <w:r>
        <w:rPr>
          <w:rFonts w:hint="eastAsia" w:ascii="仿宋_GB2312" w:hAnsi="仿宋_GB2312" w:eastAsia="仿宋_GB2312" w:cs="仿宋_GB2312"/>
          <w:sz w:val="32"/>
          <w:szCs w:val="32"/>
          <w:lang w:eastAsia="zh-Hans"/>
        </w:rPr>
        <w:t>移动充电</w:t>
      </w:r>
      <w:r>
        <w:rPr>
          <w:rFonts w:hint="eastAsia" w:ascii="仿宋_GB2312" w:hAnsi="仿宋_GB2312" w:eastAsia="仿宋_GB2312" w:cs="仿宋_GB2312"/>
          <w:sz w:val="32"/>
          <w:szCs w:val="32"/>
        </w:rPr>
        <w:t>设施，指利用电池储能，具备电动底盘移动功能、智能平台管理的，适用于无固定车位或电力负荷紧张区域的移动充电小车。</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4.居住区公用充电设施，指在居住小区内部停车场所建设，主要供小区内部电动汽车使用的经营性充电设施。</w:t>
      </w:r>
    </w:p>
    <w:p>
      <w:pPr>
        <w:spacing w:line="560" w:lineRule="exact"/>
        <w:ind w:firstLine="640" w:firstLineChars="200"/>
        <w:rPr>
          <w:rFonts w:hint="eastAsia" w:ascii="仿宋_GB2312" w:hAnsi="宋体" w:eastAsia="仿宋_GB2312" w:cs="宋体"/>
          <w:bCs/>
          <w:snapToGrid w:val="0"/>
          <w:color w:val="000000"/>
          <w:kern w:val="32"/>
          <w:sz w:val="32"/>
          <w:szCs w:val="32"/>
          <w:u w:val="none"/>
          <w:lang w:val="en-US" w:eastAsia="zh-CN"/>
        </w:rPr>
      </w:pPr>
      <w:r>
        <w:rPr>
          <w:rFonts w:hint="eastAsia" w:ascii="仿宋_GB2312" w:hAnsi="宋体" w:eastAsia="仿宋_GB2312" w:cs="宋体"/>
          <w:bCs/>
          <w:snapToGrid w:val="0"/>
          <w:color w:val="000000"/>
          <w:kern w:val="32"/>
          <w:sz w:val="32"/>
          <w:szCs w:val="32"/>
        </w:rPr>
        <w:t>5.社会公用</w:t>
      </w:r>
      <w:r>
        <w:rPr>
          <w:rFonts w:ascii="仿宋_GB2312" w:hAnsi="宋体" w:eastAsia="仿宋_GB2312" w:cs="宋体"/>
          <w:bCs/>
          <w:snapToGrid w:val="0"/>
          <w:color w:val="000000"/>
          <w:kern w:val="32"/>
          <w:sz w:val="32"/>
          <w:szCs w:val="32"/>
        </w:rPr>
        <w:t>充电设施</w:t>
      </w:r>
      <w:r>
        <w:rPr>
          <w:rFonts w:hint="eastAsia" w:ascii="仿宋_GB2312" w:hAnsi="宋体" w:eastAsia="仿宋_GB2312" w:cs="宋体"/>
          <w:bCs/>
          <w:snapToGrid w:val="0"/>
          <w:color w:val="000000"/>
          <w:kern w:val="32"/>
          <w:sz w:val="32"/>
          <w:szCs w:val="32"/>
        </w:rPr>
        <w:t>，指在社会公共停车场或可用于充电服务的停车场所内建设，向社会开放</w:t>
      </w:r>
      <w:r>
        <w:rPr>
          <w:rFonts w:hint="eastAsia" w:ascii="仿宋_GB2312" w:hAnsi="宋体" w:eastAsia="仿宋_GB2312" w:cs="宋体"/>
          <w:bCs/>
          <w:snapToGrid w:val="0"/>
          <w:color w:val="000000"/>
          <w:kern w:val="32"/>
          <w:sz w:val="32"/>
          <w:szCs w:val="32"/>
          <w:lang w:val="en-US" w:eastAsia="zh-CN"/>
        </w:rPr>
        <w:t>的、为电动汽车提供充电服务</w:t>
      </w:r>
      <w:r>
        <w:rPr>
          <w:rFonts w:hint="eastAsia" w:ascii="仿宋_GB2312" w:hAnsi="宋体" w:eastAsia="仿宋_GB2312" w:cs="宋体"/>
          <w:bCs/>
          <w:snapToGrid w:val="0"/>
          <w:color w:val="000000"/>
          <w:kern w:val="32"/>
          <w:sz w:val="32"/>
          <w:szCs w:val="32"/>
        </w:rPr>
        <w:t>的经营性充电设施</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rPr>
        <w:t>包括环卫、公交等专用领域向社会开放使用的充电设施。其中：</w:t>
      </w:r>
      <w:r>
        <w:rPr>
          <w:rFonts w:hint="eastAsia" w:ascii="仿宋_GB2312" w:hAnsi="宋体" w:eastAsia="仿宋_GB2312" w:cs="宋体"/>
          <w:bCs/>
          <w:snapToGrid w:val="0"/>
          <w:color w:val="000000"/>
          <w:kern w:val="32"/>
          <w:sz w:val="32"/>
          <w:szCs w:val="32"/>
          <w:u w:val="none"/>
        </w:rPr>
        <w:t>超充</w:t>
      </w:r>
      <w:r>
        <w:rPr>
          <w:rFonts w:hint="eastAsia" w:ascii="仿宋_GB2312" w:hAnsi="宋体" w:eastAsia="仿宋_GB2312" w:cs="宋体"/>
          <w:bCs/>
          <w:snapToGrid w:val="0"/>
          <w:color w:val="000000"/>
          <w:kern w:val="32"/>
          <w:sz w:val="32"/>
          <w:szCs w:val="32"/>
          <w:u w:val="none"/>
          <w:lang w:val="en-US" w:eastAsia="zh-CN"/>
        </w:rPr>
        <w:t>桩指</w:t>
      </w:r>
      <w:r>
        <w:rPr>
          <w:rFonts w:hint="eastAsia" w:ascii="仿宋_GB2312" w:hAnsi="宋体" w:eastAsia="仿宋_GB2312" w:cs="宋体"/>
          <w:bCs/>
          <w:snapToGrid w:val="0"/>
          <w:color w:val="000000"/>
          <w:kern w:val="32"/>
          <w:sz w:val="32"/>
          <w:szCs w:val="32"/>
          <w:u w:val="none"/>
        </w:rPr>
        <w:t>充电枪最大输出功率为360千瓦及以上</w:t>
      </w:r>
      <w:r>
        <w:rPr>
          <w:rFonts w:hint="eastAsia" w:ascii="仿宋_GB2312" w:hAnsi="宋体" w:eastAsia="仿宋_GB2312" w:cs="宋体"/>
          <w:bCs/>
          <w:snapToGrid w:val="0"/>
          <w:color w:val="000000"/>
          <w:kern w:val="32"/>
          <w:sz w:val="32"/>
          <w:szCs w:val="32"/>
          <w:u w:val="none"/>
          <w:lang w:eastAsia="zh-CN"/>
        </w:rPr>
        <w:t>、</w:t>
      </w:r>
      <w:r>
        <w:rPr>
          <w:rFonts w:hint="eastAsia" w:ascii="仿宋_GB2312" w:hAnsi="宋体" w:eastAsia="仿宋_GB2312" w:cs="宋体"/>
          <w:bCs/>
          <w:snapToGrid w:val="0"/>
          <w:color w:val="000000"/>
          <w:kern w:val="32"/>
          <w:sz w:val="32"/>
          <w:szCs w:val="32"/>
          <w:u w:val="none"/>
        </w:rPr>
        <w:t>充电主机和终端分体式设计的全液冷</w:t>
      </w:r>
      <w:r>
        <w:rPr>
          <w:rFonts w:hint="eastAsia" w:ascii="仿宋_GB2312" w:hAnsi="宋体" w:eastAsia="仿宋_GB2312" w:cs="宋体"/>
          <w:bCs/>
          <w:snapToGrid w:val="0"/>
          <w:color w:val="000000"/>
          <w:kern w:val="32"/>
          <w:sz w:val="32"/>
          <w:szCs w:val="32"/>
          <w:u w:val="none"/>
          <w:lang w:val="en-US" w:eastAsia="zh-CN"/>
        </w:rPr>
        <w:t>充电桩。</w:t>
      </w:r>
    </w:p>
    <w:p>
      <w:pPr>
        <w:spacing w:line="560" w:lineRule="exact"/>
        <w:ind w:firstLine="640" w:firstLineChars="200"/>
        <w:rPr>
          <w:rFonts w:hint="eastAsia" w:ascii="仿宋_GB2312" w:hAnsi="宋体" w:eastAsia="仿宋_GB2312" w:cs="宋体"/>
          <w:bCs/>
          <w:snapToGrid w:val="0"/>
          <w:color w:val="000000"/>
          <w:kern w:val="32"/>
          <w:sz w:val="32"/>
          <w:szCs w:val="32"/>
          <w:highlight w:val="none"/>
          <w:u w:val="single"/>
          <w:lang w:eastAsia="zh-CN"/>
        </w:rPr>
      </w:pPr>
      <w:r>
        <w:rPr>
          <w:rFonts w:ascii="仿宋_GB2312" w:hAnsi="宋体" w:eastAsia="仿宋_GB2312" w:cs="宋体"/>
          <w:bCs/>
          <w:snapToGrid w:val="0"/>
          <w:color w:val="000000"/>
          <w:kern w:val="32"/>
          <w:sz w:val="32"/>
          <w:szCs w:val="32"/>
          <w:highlight w:val="none"/>
          <w:u w:val="none"/>
        </w:rPr>
        <w:t>6.充电精品示范</w:t>
      </w:r>
      <w:r>
        <w:rPr>
          <w:rFonts w:hint="eastAsia" w:ascii="仿宋_GB2312" w:hAnsi="宋体" w:eastAsia="仿宋_GB2312" w:cs="宋体"/>
          <w:bCs/>
          <w:snapToGrid w:val="0"/>
          <w:color w:val="000000"/>
          <w:kern w:val="32"/>
          <w:sz w:val="32"/>
          <w:szCs w:val="32"/>
          <w:highlight w:val="none"/>
          <w:u w:val="none"/>
        </w:rPr>
        <w:t>区，指划定不</w:t>
      </w:r>
      <w:r>
        <w:rPr>
          <w:rFonts w:hint="eastAsia" w:ascii="仿宋_GB2312" w:hAnsi="仿宋" w:eastAsia="仿宋_GB2312" w:cs="仿宋"/>
          <w:sz w:val="32"/>
          <w:szCs w:val="32"/>
          <w:highlight w:val="none"/>
          <w:u w:val="none"/>
        </w:rPr>
        <w:t>超过</w:t>
      </w:r>
      <w:r>
        <w:rPr>
          <w:rFonts w:ascii="仿宋_GB2312" w:hAnsi="仿宋" w:eastAsia="仿宋_GB2312" w:cs="仿宋"/>
          <w:sz w:val="32"/>
          <w:szCs w:val="32"/>
          <w:highlight w:val="none"/>
          <w:u w:val="none"/>
        </w:rPr>
        <w:t>7</w:t>
      </w:r>
      <w:r>
        <w:rPr>
          <w:rFonts w:hint="eastAsia" w:ascii="仿宋_GB2312" w:hAnsi="仿宋" w:eastAsia="仿宋_GB2312" w:cs="仿宋"/>
          <w:sz w:val="32"/>
          <w:szCs w:val="32"/>
          <w:highlight w:val="none"/>
          <w:u w:val="none"/>
        </w:rPr>
        <w:t>平方公里的区域，区域内</w:t>
      </w:r>
      <w:r>
        <w:rPr>
          <w:rFonts w:hint="eastAsia" w:ascii="仿宋_GB2312" w:hAnsi="宋体" w:eastAsia="仿宋_GB2312" w:cs="宋体"/>
          <w:bCs/>
          <w:snapToGrid w:val="0"/>
          <w:color w:val="000000"/>
          <w:kern w:val="32"/>
          <w:sz w:val="32"/>
          <w:szCs w:val="32"/>
          <w:highlight w:val="none"/>
          <w:u w:val="none"/>
        </w:rPr>
        <w:t>至少包含一个特色场景（</w:t>
      </w:r>
      <w:r>
        <w:rPr>
          <w:rFonts w:hint="eastAsia" w:ascii="仿宋_GB2312" w:hAnsi="仿宋" w:eastAsia="仿宋_GB2312" w:cs="仿宋"/>
          <w:sz w:val="32"/>
          <w:szCs w:val="32"/>
          <w:highlight w:val="none"/>
          <w:u w:val="none"/>
        </w:rPr>
        <w:t>消费商圈、商务办公、交通枢纽、公路沿线、产业园区</w:t>
      </w:r>
      <w:r>
        <w:rPr>
          <w:rFonts w:ascii="仿宋_GB2312" w:hAnsi="仿宋" w:eastAsia="仿宋_GB2312" w:cs="仿宋"/>
          <w:sz w:val="32"/>
          <w:szCs w:val="32"/>
          <w:highlight w:val="none"/>
          <w:u w:val="none"/>
        </w:rPr>
        <w:t>和</w:t>
      </w:r>
      <w:r>
        <w:rPr>
          <w:rFonts w:hint="eastAsia" w:ascii="仿宋_GB2312" w:hAnsi="仿宋" w:eastAsia="仿宋_GB2312" w:cs="仿宋"/>
          <w:sz w:val="32"/>
          <w:szCs w:val="32"/>
          <w:highlight w:val="none"/>
          <w:u w:val="none"/>
        </w:rPr>
        <w:t>物流基地等</w:t>
      </w:r>
      <w:r>
        <w:rPr>
          <w:rFonts w:hint="eastAsia" w:ascii="仿宋_GB2312" w:hAnsi="宋体" w:eastAsia="仿宋_GB2312" w:cs="宋体"/>
          <w:bCs/>
          <w:snapToGrid w:val="0"/>
          <w:color w:val="000000"/>
          <w:kern w:val="32"/>
          <w:sz w:val="32"/>
          <w:szCs w:val="32"/>
          <w:highlight w:val="none"/>
          <w:u w:val="none"/>
        </w:rPr>
        <w:t>）</w:t>
      </w:r>
      <w:r>
        <w:rPr>
          <w:rFonts w:hint="eastAsia" w:ascii="仿宋_GB2312" w:hAnsi="仿宋" w:eastAsia="仿宋_GB2312" w:cs="仿宋"/>
          <w:sz w:val="32"/>
          <w:szCs w:val="32"/>
          <w:highlight w:val="none"/>
          <w:u w:val="none"/>
        </w:rPr>
        <w:t>。示范区内的示范站须</w:t>
      </w:r>
      <w:r>
        <w:rPr>
          <w:rFonts w:hint="eastAsia" w:ascii="仿宋_GB2312" w:hAnsi="宋体" w:eastAsia="仿宋_GB2312" w:cs="宋体"/>
          <w:bCs/>
          <w:snapToGrid w:val="0"/>
          <w:color w:val="000000"/>
          <w:kern w:val="32"/>
          <w:sz w:val="32"/>
          <w:szCs w:val="32"/>
          <w:highlight w:val="none"/>
          <w:u w:val="none"/>
        </w:rPr>
        <w:t>为新能源汽车用户带来“三个一”（一约即充、一码通行、一小时充电）和创新技术、创新服务的高品质充电体验。充电精品示范区的认定需通过</w:t>
      </w:r>
      <w:r>
        <w:rPr>
          <w:rFonts w:hint="eastAsia" w:ascii="仿宋_GB2312" w:hAnsi="仿宋_GB2312" w:eastAsia="仿宋_GB2312" w:cs="仿宋_GB2312"/>
          <w:bCs/>
          <w:snapToGrid w:val="0"/>
          <w:color w:val="000000"/>
          <w:kern w:val="32"/>
          <w:sz w:val="32"/>
          <w:szCs w:val="32"/>
          <w:highlight w:val="none"/>
          <w:u w:val="none"/>
        </w:rPr>
        <w:t>入围评审、建设验收和绩效评价</w:t>
      </w:r>
      <w:r>
        <w:rPr>
          <w:rFonts w:hint="eastAsia" w:ascii="仿宋_GB2312" w:hAnsi="仿宋_GB2312" w:eastAsia="仿宋_GB2312" w:cs="仿宋_GB2312"/>
          <w:bCs/>
          <w:snapToGrid w:val="0"/>
          <w:color w:val="000000"/>
          <w:kern w:val="32"/>
          <w:sz w:val="32"/>
          <w:szCs w:val="32"/>
          <w:highlight w:val="none"/>
          <w:u w:val="none"/>
          <w:lang w:eastAsia="zh-CN"/>
        </w:rPr>
        <w:t>。</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7.换电设施，指采用电池更换模式为电动汽车提供电能补给的设施，并主要应用于巡游出租车、网络预约出租车等服务场景。</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8.有序充电设施，指配电网在用户、充电桩以及电动汽车之间进行充分的信息交互和分层控制，全面感知配电负荷变化趋势，下达动态调整充电时间和功率指令后，参与响应执行充电时间及功率调整的充电设备。</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9.V2G充电设施，指能作为电动汽车与电网进行双向电能量流动和信息互动的载体，实现双向充放电的充电设施。</w:t>
      </w:r>
    </w:p>
    <w:p>
      <w:pPr>
        <w:spacing w:line="560" w:lineRule="exact"/>
        <w:ind w:firstLine="640" w:firstLineChars="200"/>
        <w:rPr>
          <w:rFonts w:ascii="仿宋_GB2312" w:hAnsi="仿宋_GB2312" w:eastAsia="仿宋_GB2312" w:cs="仿宋_GB2312"/>
          <w:sz w:val="32"/>
          <w:szCs w:val="32"/>
          <w:lang w:eastAsia="zh-Hans"/>
        </w:rPr>
      </w:pPr>
      <w:r>
        <w:rPr>
          <w:rFonts w:hint="eastAsia" w:ascii="仿宋_GB2312" w:hAnsi="仿宋_GB2312" w:eastAsia="仿宋_GB2312" w:cs="仿宋_GB2312"/>
          <w:color w:val="000000" w:themeColor="text1"/>
          <w:sz w:val="32"/>
          <w:szCs w:val="32"/>
          <w14:textFill>
            <w14:solidFill>
              <w14:schemeClr w14:val="tx1"/>
            </w14:solidFill>
          </w14:textFill>
        </w:rPr>
        <w:t>10.光（储）充充电站，指在传统充电站的基础上配置分布式光伏系统（或储能系统），同时具备光伏发电（或储能）、充电功能的充电站。</w:t>
      </w:r>
    </w:p>
    <w:p>
      <w:pPr>
        <w:pStyle w:val="2"/>
      </w:pPr>
    </w:p>
    <w:p>
      <w:pPr>
        <w:pStyle w:val="17"/>
        <w:sectPr>
          <w:pgSz w:w="11906" w:h="16838"/>
          <w:pgMar w:top="1440" w:right="1800" w:bottom="1440" w:left="1800" w:header="851" w:footer="992" w:gutter="0"/>
          <w:pgNumType w:fmt="decimal"/>
          <w:cols w:space="720" w:num="1"/>
          <w:docGrid w:type="lines" w:linePitch="312" w:charSpace="0"/>
        </w:sectPr>
      </w:pPr>
    </w:p>
    <w:p>
      <w:pPr>
        <w:keepNext/>
        <w:keepLines/>
        <w:spacing w:line="560" w:lineRule="exact"/>
        <w:outlineLvl w:val="0"/>
        <w:rPr>
          <w:rFonts w:ascii="黑体" w:hAnsi="黑体" w:eastAsia="黑体" w:cs="黑体"/>
          <w:snapToGrid w:val="0"/>
          <w:kern w:val="44"/>
          <w:sz w:val="32"/>
          <w:szCs w:val="32"/>
        </w:rPr>
      </w:pPr>
      <w:r>
        <w:rPr>
          <w:rFonts w:hint="eastAsia" w:ascii="黑体" w:hAnsi="黑体" w:eastAsia="黑体" w:cs="黑体"/>
          <w:snapToGrid w:val="0"/>
          <w:kern w:val="44"/>
          <w:sz w:val="32"/>
          <w:szCs w:val="32"/>
        </w:rPr>
        <w:t xml:space="preserve">附件2 </w:t>
      </w:r>
    </w:p>
    <w:p>
      <w:pPr>
        <w:spacing w:line="360" w:lineRule="auto"/>
        <w:rPr>
          <w:rFonts w:ascii="宋体" w:hAnsi="宋体" w:eastAsia="仿宋_GB2312" w:cs="Times New Roman"/>
          <w:snapToGrid w:val="0"/>
          <w:kern w:val="32"/>
          <w:sz w:val="24"/>
          <w:szCs w:val="32"/>
        </w:rPr>
      </w:pPr>
    </w:p>
    <w:p>
      <w:pPr>
        <w:autoSpaceDE w:val="0"/>
        <w:autoSpaceDN w:val="0"/>
        <w:adjustRightInd w:val="0"/>
        <w:spacing w:line="700" w:lineRule="exact"/>
        <w:ind w:left="-178" w:leftChars="-85"/>
        <w:jc w:val="center"/>
        <w:rPr>
          <w:rFonts w:ascii="黑体" w:hAnsi="黑体" w:eastAsia="黑体" w:cs="黑体"/>
          <w:bCs/>
          <w:snapToGrid w:val="0"/>
          <w:kern w:val="32"/>
          <w:sz w:val="36"/>
          <w:szCs w:val="40"/>
        </w:rPr>
      </w:pPr>
    </w:p>
    <w:p>
      <w:pPr>
        <w:autoSpaceDE w:val="0"/>
        <w:autoSpaceDN w:val="0"/>
        <w:adjustRightInd w:val="0"/>
        <w:spacing w:line="700" w:lineRule="exact"/>
        <w:ind w:left="-178" w:leftChars="-85"/>
        <w:jc w:val="center"/>
        <w:rPr>
          <w:rFonts w:ascii="黑体" w:hAnsi="黑体" w:eastAsia="黑体" w:cs="黑体"/>
          <w:bCs/>
          <w:snapToGrid w:val="0"/>
          <w:kern w:val="32"/>
          <w:sz w:val="36"/>
          <w:szCs w:val="40"/>
        </w:rPr>
      </w:pPr>
    </w:p>
    <w:p>
      <w:pPr>
        <w:autoSpaceDE w:val="0"/>
        <w:autoSpaceDN w:val="0"/>
        <w:adjustRightInd w:val="0"/>
        <w:spacing w:line="700" w:lineRule="exact"/>
        <w:ind w:left="-178" w:leftChars="-85"/>
        <w:jc w:val="center"/>
        <w:rPr>
          <w:rFonts w:ascii="黑体" w:hAnsi="黑体" w:eastAsia="黑体" w:cs="黑体"/>
          <w:bCs/>
          <w:snapToGrid w:val="0"/>
          <w:kern w:val="32"/>
          <w:sz w:val="36"/>
          <w:szCs w:val="40"/>
        </w:rPr>
      </w:pPr>
    </w:p>
    <w:p>
      <w:pPr>
        <w:autoSpaceDE w:val="0"/>
        <w:autoSpaceDN w:val="0"/>
        <w:adjustRightInd w:val="0"/>
        <w:spacing w:line="700" w:lineRule="exact"/>
        <w:ind w:left="-178" w:leftChars="-85"/>
        <w:jc w:val="center"/>
        <w:outlineLvl w:val="0"/>
        <w:rPr>
          <w:rFonts w:ascii="黑体" w:hAnsi="黑体" w:eastAsia="黑体" w:cs="黑体"/>
          <w:bCs/>
          <w:snapToGrid w:val="0"/>
          <w:kern w:val="32"/>
          <w:sz w:val="36"/>
          <w:szCs w:val="40"/>
        </w:rPr>
      </w:pPr>
      <w:r>
        <w:rPr>
          <w:rFonts w:hint="eastAsia" w:ascii="黑体" w:hAnsi="黑体" w:eastAsia="黑体" w:cs="黑体"/>
          <w:bCs/>
          <w:snapToGrid w:val="0"/>
          <w:kern w:val="32"/>
          <w:sz w:val="36"/>
          <w:szCs w:val="40"/>
        </w:rPr>
        <w:t>202</w:t>
      </w:r>
      <w:r>
        <w:rPr>
          <w:rFonts w:ascii="黑体" w:hAnsi="黑体" w:eastAsia="黑体" w:cs="黑体"/>
          <w:bCs/>
          <w:snapToGrid w:val="0"/>
          <w:kern w:val="32"/>
          <w:sz w:val="36"/>
          <w:szCs w:val="40"/>
        </w:rPr>
        <w:t>3</w:t>
      </w:r>
      <w:r>
        <w:rPr>
          <w:rFonts w:hint="eastAsia" w:ascii="黑体" w:hAnsi="黑体" w:eastAsia="黑体" w:cs="黑体"/>
          <w:bCs/>
          <w:snapToGrid w:val="0"/>
          <w:kern w:val="32"/>
          <w:sz w:val="36"/>
          <w:szCs w:val="40"/>
        </w:rPr>
        <w:t>年度北京市电动汽车充换电设施建设运营奖励</w:t>
      </w:r>
    </w:p>
    <w:p>
      <w:pPr>
        <w:autoSpaceDE w:val="0"/>
        <w:autoSpaceDN w:val="0"/>
        <w:adjustRightInd w:val="0"/>
        <w:spacing w:line="700" w:lineRule="exact"/>
        <w:ind w:left="-178" w:leftChars="-85"/>
        <w:jc w:val="center"/>
        <w:outlineLvl w:val="0"/>
        <w:rPr>
          <w:rFonts w:ascii="黑体" w:hAnsi="黑体" w:eastAsia="黑体" w:cs="黑体"/>
          <w:bCs/>
          <w:snapToGrid w:val="0"/>
          <w:kern w:val="32"/>
          <w:sz w:val="36"/>
          <w:szCs w:val="40"/>
        </w:rPr>
      </w:pPr>
      <w:r>
        <w:rPr>
          <w:rFonts w:hint="eastAsia" w:ascii="黑体" w:hAnsi="黑体" w:eastAsia="黑体" w:cs="黑体"/>
          <w:bCs/>
          <w:snapToGrid w:val="0"/>
          <w:kern w:val="32"/>
          <w:sz w:val="36"/>
          <w:szCs w:val="40"/>
        </w:rPr>
        <w:t>项目申报书</w:t>
      </w:r>
    </w:p>
    <w:p>
      <w:pPr>
        <w:jc w:val="center"/>
        <w:rPr>
          <w:rFonts w:ascii="黑体" w:hAnsi="黑体" w:eastAsia="黑体" w:cs="黑体"/>
          <w:b/>
          <w:bCs/>
          <w:sz w:val="36"/>
          <w:szCs w:val="40"/>
        </w:rPr>
      </w:pPr>
    </w:p>
    <w:p>
      <w:pPr>
        <w:pStyle w:val="18"/>
        <w:rPr>
          <w:rFonts w:ascii="黑体" w:hAnsi="黑体" w:eastAsia="黑体" w:cs="黑体"/>
          <w:bCs/>
          <w:sz w:val="36"/>
          <w:szCs w:val="40"/>
        </w:rPr>
      </w:pPr>
    </w:p>
    <w:p>
      <w:pPr>
        <w:rPr>
          <w:rFonts w:ascii="仿宋_GB2312" w:hAnsi="仿宋_GB2312" w:eastAsia="仿宋_GB2312" w:cs="仿宋_GB2312"/>
          <w:bCs/>
          <w:snapToGrid w:val="0"/>
          <w:kern w:val="32"/>
          <w:sz w:val="32"/>
          <w:szCs w:val="36"/>
        </w:rPr>
      </w:pPr>
      <w:r>
        <w:rPr>
          <w:rFonts w:hint="eastAsia" w:ascii="仿宋_GB2312" w:hAnsi="仿宋_GB2312" w:eastAsia="仿宋_GB2312" w:cs="仿宋_GB2312"/>
          <w:bCs/>
          <w:snapToGrid w:val="0"/>
          <w:kern w:val="32"/>
          <w:sz w:val="32"/>
          <w:szCs w:val="36"/>
        </w:rPr>
        <w:t xml:space="preserve">申报单位：                                          </w:t>
      </w:r>
    </w:p>
    <w:p>
      <w:pPr>
        <w:ind w:left="1600" w:hanging="1600" w:hangingChars="500"/>
        <w:rPr>
          <w:rFonts w:ascii="仿宋_GB2312" w:hAnsi="仿宋_GB2312" w:eastAsia="仿宋_GB2312" w:cs="仿宋_GB2312"/>
          <w:bCs/>
          <w:snapToGrid w:val="0"/>
          <w:kern w:val="32"/>
          <w:sz w:val="32"/>
          <w:szCs w:val="36"/>
        </w:rPr>
      </w:pPr>
      <w:r>
        <w:rPr>
          <w:rFonts w:hint="eastAsia" w:ascii="仿宋_GB2312" w:hAnsi="仿宋_GB2312" w:eastAsia="仿宋_GB2312" w:cs="仿宋_GB2312"/>
          <w:bCs/>
          <w:snapToGrid w:val="0"/>
          <w:kern w:val="32"/>
          <w:sz w:val="32"/>
          <w:szCs w:val="36"/>
        </w:rPr>
        <w:t>申报方向：</w:t>
      </w:r>
      <w:r>
        <w:rPr>
          <w:rFonts w:hint="eastAsia" w:ascii="仿宋_GB2312" w:hAnsi="仿宋_GB2312" w:eastAsia="仿宋_GB2312" w:cs="仿宋_GB2312"/>
          <w:bCs/>
          <w:snapToGrid w:val="0"/>
          <w:kern w:val="32"/>
          <w:sz w:val="32"/>
          <w:szCs w:val="36"/>
        </w:rPr>
        <w:sym w:font="Wingdings 2" w:char="00A3"/>
      </w:r>
      <w:r>
        <w:rPr>
          <w:rFonts w:hint="eastAsia" w:ascii="仿宋_GB2312" w:hAnsi="仿宋_GB2312" w:eastAsia="仿宋_GB2312" w:cs="仿宋_GB2312"/>
          <w:bCs/>
          <w:snapToGrid w:val="0"/>
          <w:kern w:val="32"/>
          <w:sz w:val="32"/>
          <w:szCs w:val="36"/>
        </w:rPr>
        <w:t xml:space="preserve">单位内部充电设施  </w:t>
      </w:r>
      <w:r>
        <w:rPr>
          <w:rFonts w:hint="eastAsia" w:ascii="仿宋_GB2312" w:hAnsi="仿宋_GB2312" w:eastAsia="仿宋_GB2312" w:cs="仿宋_GB2312"/>
          <w:bCs/>
          <w:snapToGrid w:val="0"/>
          <w:kern w:val="32"/>
          <w:sz w:val="32"/>
          <w:szCs w:val="36"/>
        </w:rPr>
        <w:sym w:font="Wingdings 2" w:char="00A3"/>
      </w:r>
      <w:r>
        <w:rPr>
          <w:rFonts w:hint="eastAsia" w:ascii="仿宋_GB2312" w:hAnsi="仿宋_GB2312" w:eastAsia="仿宋_GB2312" w:cs="仿宋_GB2312"/>
          <w:bCs/>
          <w:snapToGrid w:val="0"/>
          <w:kern w:val="32"/>
          <w:sz w:val="32"/>
          <w:szCs w:val="36"/>
          <w:u w:val="none"/>
        </w:rPr>
        <w:t>“统建统服”</w:t>
      </w:r>
      <w:r>
        <w:rPr>
          <w:rFonts w:hint="eastAsia" w:ascii="仿宋_GB2312" w:hAnsi="仿宋_GB2312" w:eastAsia="仿宋_GB2312" w:cs="仿宋_GB2312"/>
          <w:bCs/>
          <w:snapToGrid w:val="0"/>
          <w:kern w:val="32"/>
          <w:sz w:val="32"/>
          <w:szCs w:val="36"/>
          <w:highlight w:val="none"/>
          <w:u w:val="none"/>
        </w:rPr>
        <w:t>试点项目</w:t>
      </w:r>
    </w:p>
    <w:p>
      <w:pPr>
        <w:ind w:firstLine="1600" w:firstLineChars="500"/>
        <w:rPr>
          <w:rFonts w:ascii="仿宋_GB2312" w:hAnsi="仿宋_GB2312" w:eastAsia="仿宋_GB2312" w:cs="仿宋_GB2312"/>
          <w:bCs/>
          <w:snapToGrid w:val="0"/>
          <w:kern w:val="32"/>
          <w:sz w:val="32"/>
          <w:szCs w:val="36"/>
        </w:rPr>
      </w:pPr>
      <w:r>
        <w:rPr>
          <w:rFonts w:hint="eastAsia" w:ascii="仿宋_GB2312" w:hAnsi="仿宋_GB2312" w:eastAsia="仿宋_GB2312" w:cs="仿宋_GB2312"/>
          <w:bCs/>
          <w:snapToGrid w:val="0"/>
          <w:kern w:val="32"/>
          <w:sz w:val="32"/>
          <w:szCs w:val="36"/>
        </w:rPr>
        <w:sym w:font="Wingdings 2" w:char="00A3"/>
      </w:r>
      <w:r>
        <w:rPr>
          <w:rFonts w:hint="eastAsia" w:ascii="仿宋_GB2312" w:hAnsi="仿宋_GB2312" w:eastAsia="仿宋_GB2312" w:cs="仿宋_GB2312"/>
          <w:bCs/>
          <w:snapToGrid w:val="0"/>
          <w:kern w:val="32"/>
          <w:sz w:val="32"/>
          <w:szCs w:val="36"/>
        </w:rPr>
        <w:t xml:space="preserve">移动充电设施      </w:t>
      </w:r>
      <w:r>
        <w:rPr>
          <w:rFonts w:hint="eastAsia" w:ascii="仿宋_GB2312" w:hAnsi="仿宋_GB2312" w:eastAsia="仿宋_GB2312" w:cs="仿宋_GB2312"/>
          <w:bCs/>
          <w:snapToGrid w:val="0"/>
          <w:kern w:val="32"/>
          <w:sz w:val="32"/>
          <w:szCs w:val="36"/>
        </w:rPr>
        <w:sym w:font="Wingdings 2" w:char="00A3"/>
      </w:r>
      <w:r>
        <w:rPr>
          <w:rFonts w:hint="eastAsia" w:ascii="仿宋_GB2312" w:hAnsi="仿宋_GB2312" w:eastAsia="仿宋_GB2312" w:cs="仿宋_GB2312"/>
          <w:bCs/>
          <w:snapToGrid w:val="0"/>
          <w:kern w:val="32"/>
          <w:sz w:val="32"/>
          <w:szCs w:val="36"/>
        </w:rPr>
        <w:t>居住区公用充电设施</w:t>
      </w:r>
    </w:p>
    <w:p>
      <w:pPr>
        <w:ind w:firstLine="1600" w:firstLineChars="500"/>
        <w:rPr>
          <w:rFonts w:ascii="仿宋_GB2312" w:hAnsi="仿宋_GB2312" w:eastAsia="仿宋_GB2312" w:cs="仿宋_GB2312"/>
          <w:bCs/>
          <w:snapToGrid w:val="0"/>
          <w:kern w:val="32"/>
          <w:sz w:val="32"/>
          <w:szCs w:val="36"/>
        </w:rPr>
      </w:pPr>
      <w:r>
        <w:rPr>
          <w:rFonts w:hint="eastAsia" w:ascii="仿宋_GB2312" w:hAnsi="仿宋_GB2312" w:eastAsia="仿宋_GB2312" w:cs="仿宋_GB2312"/>
          <w:bCs/>
          <w:snapToGrid w:val="0"/>
          <w:kern w:val="32"/>
          <w:sz w:val="32"/>
          <w:szCs w:val="36"/>
        </w:rPr>
        <w:sym w:font="Wingdings 2" w:char="00A3"/>
      </w:r>
      <w:r>
        <w:rPr>
          <w:rFonts w:hint="eastAsia" w:ascii="仿宋_GB2312" w:hAnsi="仿宋_GB2312" w:eastAsia="仿宋_GB2312" w:cs="仿宋_GB2312"/>
          <w:bCs/>
          <w:snapToGrid w:val="0"/>
          <w:kern w:val="32"/>
          <w:sz w:val="32"/>
          <w:szCs w:val="36"/>
        </w:rPr>
        <w:t xml:space="preserve">社会公用充电设施  </w:t>
      </w:r>
      <w:r>
        <w:rPr>
          <w:rFonts w:hint="eastAsia" w:ascii="仿宋_GB2312" w:hAnsi="仿宋_GB2312" w:eastAsia="仿宋_GB2312" w:cs="仿宋_GB2312"/>
          <w:bCs/>
          <w:snapToGrid w:val="0"/>
          <w:kern w:val="32"/>
          <w:sz w:val="32"/>
          <w:szCs w:val="36"/>
        </w:rPr>
        <w:sym w:font="Wingdings 2" w:char="00A3"/>
      </w:r>
      <w:r>
        <w:rPr>
          <w:rFonts w:hint="eastAsia" w:ascii="仿宋_GB2312" w:hAnsi="仿宋_GB2312" w:eastAsia="仿宋_GB2312" w:cs="仿宋_GB2312"/>
          <w:bCs/>
          <w:snapToGrid w:val="0"/>
          <w:kern w:val="32"/>
          <w:sz w:val="32"/>
          <w:szCs w:val="36"/>
        </w:rPr>
        <w:t>充电精品示范区</w:t>
      </w:r>
    </w:p>
    <w:p>
      <w:pPr>
        <w:ind w:left="1596" w:leftChars="760"/>
        <w:rPr>
          <w:rFonts w:ascii="仿宋_GB2312" w:hAnsi="仿宋_GB2312" w:eastAsia="仿宋_GB2312" w:cs="仿宋_GB2312"/>
          <w:bCs/>
          <w:snapToGrid w:val="0"/>
          <w:kern w:val="32"/>
          <w:sz w:val="32"/>
          <w:szCs w:val="36"/>
        </w:rPr>
      </w:pPr>
      <w:r>
        <w:rPr>
          <w:rFonts w:hint="eastAsia" w:ascii="仿宋_GB2312" w:hAnsi="仿宋_GB2312" w:eastAsia="仿宋_GB2312" w:cs="仿宋_GB2312"/>
          <w:bCs/>
          <w:snapToGrid w:val="0"/>
          <w:kern w:val="32"/>
          <w:sz w:val="32"/>
          <w:szCs w:val="36"/>
        </w:rPr>
        <w:sym w:font="Wingdings 2" w:char="00A3"/>
      </w:r>
      <w:r>
        <w:rPr>
          <w:rFonts w:hint="eastAsia" w:ascii="仿宋_GB2312" w:hAnsi="仿宋_GB2312" w:eastAsia="仿宋_GB2312" w:cs="仿宋_GB2312"/>
          <w:bCs/>
          <w:snapToGrid w:val="0"/>
          <w:kern w:val="32"/>
          <w:sz w:val="32"/>
          <w:szCs w:val="36"/>
        </w:rPr>
        <w:t>换电设施</w:t>
      </w:r>
    </w:p>
    <w:p>
      <w:pPr>
        <w:ind w:left="1596" w:leftChars="760"/>
        <w:rPr>
          <w:rFonts w:ascii="仿宋_GB2312" w:hAnsi="仿宋_GB2312" w:eastAsia="仿宋_GB2312" w:cs="仿宋_GB2312"/>
          <w:bCs/>
          <w:snapToGrid w:val="0"/>
          <w:kern w:val="32"/>
          <w:sz w:val="32"/>
          <w:szCs w:val="36"/>
        </w:rPr>
      </w:pPr>
      <w:r>
        <w:rPr>
          <w:rFonts w:hint="eastAsia" w:ascii="仿宋_GB2312" w:hAnsi="仿宋_GB2312" w:eastAsia="仿宋_GB2312" w:cs="仿宋_GB2312"/>
          <w:bCs/>
          <w:snapToGrid w:val="0"/>
          <w:kern w:val="32"/>
          <w:sz w:val="32"/>
          <w:szCs w:val="36"/>
        </w:rPr>
        <w:sym w:font="Wingdings 2" w:char="00A3"/>
      </w:r>
      <w:r>
        <w:rPr>
          <w:rFonts w:hint="eastAsia" w:ascii="仿宋_GB2312" w:hAnsi="仿宋_GB2312" w:eastAsia="仿宋_GB2312" w:cs="仿宋_GB2312"/>
          <w:bCs/>
          <w:snapToGrid w:val="0"/>
          <w:kern w:val="32"/>
          <w:sz w:val="32"/>
          <w:szCs w:val="36"/>
        </w:rPr>
        <w:t xml:space="preserve">有序充电、V2G、光（储）充充电站          </w:t>
      </w:r>
    </w:p>
    <w:p>
      <w:pPr>
        <w:ind w:left="1600" w:hanging="1600" w:hangingChars="500"/>
        <w:rPr>
          <w:rFonts w:ascii="仿宋_GB2312" w:hAnsi="仿宋_GB2312" w:eastAsia="仿宋_GB2312" w:cs="仿宋_GB2312"/>
          <w:bCs/>
          <w:snapToGrid w:val="0"/>
          <w:kern w:val="32"/>
          <w:sz w:val="32"/>
          <w:szCs w:val="36"/>
        </w:rPr>
      </w:pPr>
      <w:r>
        <w:rPr>
          <w:rFonts w:hint="eastAsia" w:ascii="仿宋_GB2312" w:hAnsi="仿宋_GB2312" w:eastAsia="仿宋_GB2312" w:cs="仿宋_GB2312"/>
          <w:bCs/>
          <w:snapToGrid w:val="0"/>
          <w:kern w:val="32"/>
          <w:sz w:val="32"/>
          <w:szCs w:val="36"/>
        </w:rPr>
        <w:t xml:space="preserve">申报时间：                                          </w:t>
      </w:r>
    </w:p>
    <w:p>
      <w:pPr>
        <w:ind w:left="1600" w:hanging="1600" w:hangingChars="500"/>
        <w:rPr>
          <w:rFonts w:ascii="仿宋_GB2312" w:hAnsi="仿宋_GB2312" w:eastAsia="仿宋_GB2312" w:cs="仿宋_GB2312"/>
          <w:bCs/>
          <w:snapToGrid w:val="0"/>
          <w:kern w:val="32"/>
          <w:sz w:val="32"/>
          <w:szCs w:val="36"/>
        </w:rPr>
      </w:pPr>
      <w:r>
        <w:rPr>
          <w:rFonts w:hint="eastAsia" w:ascii="仿宋_GB2312" w:hAnsi="仿宋_GB2312" w:eastAsia="仿宋_GB2312" w:cs="仿宋_GB2312"/>
          <w:bCs/>
          <w:snapToGrid w:val="0"/>
          <w:kern w:val="32"/>
          <w:sz w:val="32"/>
          <w:szCs w:val="36"/>
        </w:rPr>
        <w:t xml:space="preserve">联 系 人：                                          </w:t>
      </w:r>
    </w:p>
    <w:p>
      <w:pPr>
        <w:ind w:left="1600" w:hanging="1600" w:hangingChars="500"/>
        <w:rPr>
          <w:rFonts w:ascii="仿宋_GB2312" w:hAnsi="仿宋_GB2312" w:eastAsia="仿宋_GB2312" w:cs="仿宋_GB2312"/>
          <w:bCs/>
          <w:snapToGrid w:val="0"/>
          <w:kern w:val="32"/>
          <w:sz w:val="32"/>
          <w:szCs w:val="36"/>
        </w:rPr>
      </w:pPr>
      <w:r>
        <w:rPr>
          <w:rFonts w:hint="eastAsia" w:ascii="仿宋_GB2312" w:hAnsi="仿宋_GB2312" w:eastAsia="仿宋_GB2312" w:cs="仿宋_GB2312"/>
          <w:bCs/>
          <w:snapToGrid w:val="0"/>
          <w:kern w:val="32"/>
          <w:sz w:val="32"/>
          <w:szCs w:val="36"/>
        </w:rPr>
        <w:t xml:space="preserve">联系电话：                                          </w:t>
      </w:r>
    </w:p>
    <w:p>
      <w:pPr>
        <w:jc w:val="center"/>
        <w:rPr>
          <w:rFonts w:ascii="方正小标宋_GBK" w:hAnsi="Times New Roman" w:eastAsia="方正小标宋_GBK" w:cs="Times New Roman"/>
          <w:b/>
          <w:bCs/>
          <w:sz w:val="36"/>
        </w:rPr>
      </w:pPr>
    </w:p>
    <w:p>
      <w:pPr>
        <w:autoSpaceDE w:val="0"/>
        <w:autoSpaceDN w:val="0"/>
        <w:adjustRightInd w:val="0"/>
        <w:spacing w:line="700" w:lineRule="exact"/>
        <w:ind w:left="-178" w:leftChars="-85"/>
        <w:jc w:val="center"/>
        <w:rPr>
          <w:rFonts w:ascii="宋体" w:hAnsi="宋体" w:eastAsia="黑体" w:cs="Times New Roman"/>
          <w:b/>
          <w:bCs/>
          <w:snapToGrid w:val="0"/>
          <w:kern w:val="44"/>
          <w:sz w:val="44"/>
          <w:szCs w:val="44"/>
        </w:rPr>
      </w:pPr>
    </w:p>
    <w:p>
      <w:pPr>
        <w:jc w:val="center"/>
        <w:rPr>
          <w:rFonts w:ascii="方正小标宋_GBK" w:hAnsi="Times New Roman" w:eastAsia="方正小标宋_GBK" w:cs="Times New Roman"/>
          <w:b/>
          <w:bCs/>
          <w:sz w:val="36"/>
        </w:rPr>
      </w:pPr>
    </w:p>
    <w:p>
      <w:pPr>
        <w:widowControl/>
        <w:adjustRightInd w:val="0"/>
        <w:snapToGrid w:val="0"/>
        <w:spacing w:line="560" w:lineRule="exact"/>
        <w:jc w:val="center"/>
        <w:outlineLvl w:val="1"/>
        <w:rPr>
          <w:rFonts w:ascii="黑体" w:hAnsi="黑体" w:eastAsia="黑体" w:cs="黑体"/>
          <w:bCs/>
          <w:sz w:val="32"/>
          <w:szCs w:val="32"/>
        </w:rPr>
        <w:sectPr>
          <w:pgSz w:w="11906" w:h="16838"/>
          <w:pgMar w:top="1440" w:right="1800" w:bottom="1440" w:left="1800" w:header="851" w:footer="992" w:gutter="0"/>
          <w:pgNumType w:fmt="decimal"/>
          <w:cols w:space="720" w:num="1"/>
          <w:docGrid w:type="lines" w:linePitch="312" w:charSpace="0"/>
        </w:sectPr>
      </w:pPr>
    </w:p>
    <w:p>
      <w:pPr>
        <w:widowControl/>
        <w:spacing w:line="560" w:lineRule="exact"/>
        <w:ind w:firstLine="640" w:firstLineChars="200"/>
        <w:rPr>
          <w:rFonts w:ascii="黑体" w:hAnsi="黑体" w:eastAsia="黑体" w:cs="Times New Roman"/>
          <w:bCs/>
          <w:snapToGrid w:val="0"/>
          <w:kern w:val="32"/>
          <w:sz w:val="32"/>
          <w:szCs w:val="32"/>
        </w:rPr>
      </w:pPr>
      <w:r>
        <w:rPr>
          <w:rFonts w:hint="eastAsia" w:ascii="黑体" w:hAnsi="黑体" w:eastAsia="黑体" w:cs="Times New Roman"/>
          <w:bCs/>
          <w:snapToGrid w:val="0"/>
          <w:kern w:val="32"/>
          <w:sz w:val="32"/>
          <w:szCs w:val="32"/>
        </w:rPr>
        <w:t>一、申报单位基本情况</w:t>
      </w:r>
    </w:p>
    <w:p>
      <w:pPr>
        <w:widowControl/>
        <w:spacing w:line="560" w:lineRule="exact"/>
        <w:ind w:firstLine="640" w:firstLineChars="200"/>
        <w:rPr>
          <w:rFonts w:ascii="仿宋_GB2312" w:hAnsi="仿宋_GB2312" w:eastAsia="仿宋_GB2312" w:cs="仿宋_GB2312"/>
          <w:bCs/>
          <w:snapToGrid w:val="0"/>
          <w:kern w:val="32"/>
          <w:sz w:val="32"/>
          <w:szCs w:val="32"/>
        </w:rPr>
      </w:pPr>
      <w:r>
        <w:rPr>
          <w:rFonts w:hint="eastAsia" w:ascii="仿宋_GB2312" w:hAnsi="宋体" w:eastAsia="仿宋_GB2312" w:cs="Times New Roman"/>
          <w:bCs/>
          <w:snapToGrid w:val="0"/>
          <w:kern w:val="32"/>
          <w:sz w:val="32"/>
          <w:szCs w:val="32"/>
        </w:rPr>
        <w:t>包括</w:t>
      </w:r>
      <w:r>
        <w:rPr>
          <w:rFonts w:hint="eastAsia" w:ascii="仿宋_GB2312" w:hAnsi="仿宋_GB2312" w:eastAsia="仿宋_GB2312" w:cs="仿宋_GB2312"/>
          <w:bCs/>
          <w:snapToGrid w:val="0"/>
          <w:kern w:val="32"/>
          <w:sz w:val="32"/>
          <w:szCs w:val="32"/>
        </w:rPr>
        <w:t>但不限于：</w:t>
      </w:r>
      <w:r>
        <w:rPr>
          <w:rFonts w:hint="eastAsia" w:ascii="仿宋_GB2312" w:hAnsi="宋体" w:eastAsia="仿宋_GB2312" w:cs="Times New Roman"/>
          <w:bCs/>
          <w:snapToGrid w:val="0"/>
          <w:kern w:val="32"/>
          <w:sz w:val="32"/>
          <w:szCs w:val="32"/>
        </w:rPr>
        <w:t>单位名称、成立时间、办公地点、企业性质、企业法人、企业股东、注册资金、经营范围、</w:t>
      </w:r>
      <w:r>
        <w:rPr>
          <w:rFonts w:hint="eastAsia" w:ascii="仿宋_GB2312" w:hAnsi="宋体" w:eastAsia="仿宋_GB2312" w:cs="Times New Roman"/>
          <w:bCs/>
          <w:snapToGrid w:val="0"/>
          <w:kern w:val="32"/>
          <w:sz w:val="32"/>
          <w:szCs w:val="32"/>
          <w:lang w:eastAsia="zh-Hans"/>
        </w:rPr>
        <w:t>公司人员规模</w:t>
      </w:r>
      <w:r>
        <w:rPr>
          <w:rFonts w:ascii="仿宋_GB2312" w:hAnsi="宋体" w:eastAsia="仿宋_GB2312" w:cs="Times New Roman"/>
          <w:bCs/>
          <w:snapToGrid w:val="0"/>
          <w:kern w:val="32"/>
          <w:sz w:val="32"/>
          <w:szCs w:val="32"/>
          <w:lang w:eastAsia="zh-Hans"/>
        </w:rPr>
        <w:t>、</w:t>
      </w:r>
      <w:r>
        <w:rPr>
          <w:rFonts w:ascii="仿宋_GB2312" w:hAnsi="宋体" w:eastAsia="仿宋_GB2312" w:cs="Times New Roman"/>
          <w:bCs/>
          <w:snapToGrid w:val="0"/>
          <w:kern w:val="32"/>
          <w:sz w:val="32"/>
          <w:szCs w:val="32"/>
        </w:rPr>
        <w:t>2022</w:t>
      </w:r>
      <w:r>
        <w:rPr>
          <w:rFonts w:hint="eastAsia" w:ascii="仿宋_GB2312" w:hAnsi="仿宋_GB2312" w:eastAsia="仿宋_GB2312" w:cs="仿宋_GB2312"/>
          <w:bCs/>
          <w:snapToGrid w:val="0"/>
          <w:kern w:val="32"/>
          <w:sz w:val="32"/>
          <w:szCs w:val="32"/>
        </w:rPr>
        <w:t>年主营业务收入、利润、税金、固定资产、资产负债率及京内和京外充换电设施建设规模等内容。</w:t>
      </w:r>
    </w:p>
    <w:p>
      <w:pPr>
        <w:spacing w:line="560" w:lineRule="exact"/>
        <w:jc w:val="center"/>
        <w:rPr>
          <w:rFonts w:ascii="黑体" w:hAnsi="黑体" w:eastAsia="黑体" w:cs="Times New Roman"/>
          <w:bCs/>
          <w:snapToGrid w:val="0"/>
          <w:kern w:val="32"/>
          <w:sz w:val="28"/>
          <w:szCs w:val="32"/>
        </w:rPr>
      </w:pPr>
      <w:r>
        <w:rPr>
          <w:rFonts w:hint="eastAsia" w:ascii="黑体" w:hAnsi="黑体" w:eastAsia="黑体" w:cs="Times New Roman"/>
          <w:bCs/>
          <w:snapToGrid w:val="0"/>
          <w:kern w:val="32"/>
          <w:sz w:val="28"/>
          <w:szCs w:val="32"/>
        </w:rPr>
        <w:t>表1 申报单位</w:t>
      </w:r>
      <w:r>
        <w:rPr>
          <w:rFonts w:ascii="黑体" w:hAnsi="黑体" w:eastAsia="黑体" w:cs="Times New Roman"/>
          <w:bCs/>
          <w:snapToGrid w:val="0"/>
          <w:kern w:val="32"/>
          <w:sz w:val="28"/>
          <w:szCs w:val="32"/>
        </w:rPr>
        <w:t>2022</w:t>
      </w:r>
      <w:r>
        <w:rPr>
          <w:rFonts w:hint="eastAsia" w:ascii="黑体" w:hAnsi="黑体" w:eastAsia="黑体" w:cs="Times New Roman"/>
          <w:bCs/>
          <w:snapToGrid w:val="0"/>
          <w:kern w:val="32"/>
          <w:sz w:val="28"/>
          <w:szCs w:val="32"/>
          <w:lang w:eastAsia="zh-Hans"/>
        </w:rPr>
        <w:t>年</w:t>
      </w:r>
      <w:r>
        <w:rPr>
          <w:rFonts w:hint="eastAsia" w:ascii="黑体" w:hAnsi="黑体" w:eastAsia="黑体" w:cs="Times New Roman"/>
          <w:bCs/>
          <w:snapToGrid w:val="0"/>
          <w:kern w:val="32"/>
          <w:sz w:val="28"/>
          <w:szCs w:val="32"/>
        </w:rPr>
        <w:t>基本情况</w:t>
      </w:r>
    </w:p>
    <w:tbl>
      <w:tblPr>
        <w:tblStyle w:val="9"/>
        <w:tblW w:w="8519" w:type="dxa"/>
        <w:jc w:val="center"/>
        <w:tblLayout w:type="fixed"/>
        <w:tblCellMar>
          <w:top w:w="0" w:type="dxa"/>
          <w:left w:w="108" w:type="dxa"/>
          <w:bottom w:w="0" w:type="dxa"/>
          <w:right w:w="108" w:type="dxa"/>
        </w:tblCellMar>
      </w:tblPr>
      <w:tblGrid>
        <w:gridCol w:w="1349"/>
        <w:gridCol w:w="1019"/>
        <w:gridCol w:w="1089"/>
        <w:gridCol w:w="1161"/>
        <w:gridCol w:w="1152"/>
        <w:gridCol w:w="1401"/>
        <w:gridCol w:w="1348"/>
      </w:tblGrid>
      <w:tr>
        <w:tblPrEx>
          <w:tblCellMar>
            <w:top w:w="0" w:type="dxa"/>
            <w:left w:w="108" w:type="dxa"/>
            <w:bottom w:w="0" w:type="dxa"/>
            <w:right w:w="108" w:type="dxa"/>
          </w:tblCellMar>
        </w:tblPrEx>
        <w:trPr>
          <w:trHeight w:val="285" w:hRule="atLeast"/>
          <w:jc w:val="center"/>
        </w:trPr>
        <w:tc>
          <w:tcPr>
            <w:tcW w:w="57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公司财务情况</w:t>
            </w:r>
          </w:p>
        </w:tc>
        <w:tc>
          <w:tcPr>
            <w:tcW w:w="1401"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京内充换电设施（个）</w:t>
            </w:r>
          </w:p>
        </w:tc>
        <w:tc>
          <w:tcPr>
            <w:tcW w:w="1348"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京外充换电设施（个）</w:t>
            </w:r>
          </w:p>
        </w:tc>
      </w:tr>
      <w:tr>
        <w:tblPrEx>
          <w:tblCellMar>
            <w:top w:w="0" w:type="dxa"/>
            <w:left w:w="108" w:type="dxa"/>
            <w:bottom w:w="0" w:type="dxa"/>
            <w:right w:w="108" w:type="dxa"/>
          </w:tblCellMar>
        </w:tblPrEx>
        <w:trPr>
          <w:trHeight w:val="285" w:hRule="atLeast"/>
          <w:jc w:val="center"/>
        </w:trPr>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主营业务收入（</w:t>
            </w:r>
            <w:r>
              <w:rPr>
                <w:rFonts w:hint="eastAsia" w:ascii="宋体" w:hAnsi="宋体" w:eastAsia="宋体" w:cs="宋体"/>
                <w:b/>
                <w:bCs/>
                <w:snapToGrid w:val="0"/>
                <w:color w:val="000000"/>
                <w:kern w:val="0"/>
                <w:sz w:val="22"/>
                <w:szCs w:val="22"/>
                <w:lang w:val="en-US" w:eastAsia="zh-CN" w:bidi="ar"/>
              </w:rPr>
              <w:t>万</w:t>
            </w:r>
            <w:r>
              <w:rPr>
                <w:rFonts w:hint="eastAsia" w:ascii="宋体" w:hAnsi="宋体" w:eastAsia="宋体" w:cs="宋体"/>
                <w:b/>
                <w:bCs/>
                <w:snapToGrid w:val="0"/>
                <w:color w:val="000000"/>
                <w:kern w:val="0"/>
                <w:sz w:val="22"/>
                <w:szCs w:val="22"/>
                <w:lang w:bidi="ar"/>
              </w:rPr>
              <w:t>元）</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利润</w:t>
            </w:r>
          </w:p>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w:t>
            </w:r>
            <w:r>
              <w:rPr>
                <w:rFonts w:hint="eastAsia" w:ascii="宋体" w:hAnsi="宋体" w:eastAsia="宋体" w:cs="宋体"/>
                <w:b/>
                <w:bCs/>
                <w:snapToGrid w:val="0"/>
                <w:color w:val="000000"/>
                <w:kern w:val="0"/>
                <w:sz w:val="22"/>
                <w:szCs w:val="22"/>
                <w:lang w:val="en-US" w:eastAsia="zh-CN" w:bidi="ar"/>
              </w:rPr>
              <w:t>万</w:t>
            </w:r>
            <w:r>
              <w:rPr>
                <w:rFonts w:hint="eastAsia" w:ascii="宋体" w:hAnsi="宋体" w:eastAsia="宋体" w:cs="宋体"/>
                <w:b/>
                <w:bCs/>
                <w:snapToGrid w:val="0"/>
                <w:color w:val="000000"/>
                <w:kern w:val="0"/>
                <w:sz w:val="22"/>
                <w:szCs w:val="22"/>
                <w:lang w:bidi="ar"/>
              </w:rPr>
              <w:t>元）</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税金</w:t>
            </w:r>
          </w:p>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w:t>
            </w:r>
            <w:r>
              <w:rPr>
                <w:rFonts w:hint="eastAsia" w:ascii="宋体" w:hAnsi="宋体" w:eastAsia="宋体" w:cs="宋体"/>
                <w:b/>
                <w:bCs/>
                <w:snapToGrid w:val="0"/>
                <w:color w:val="000000"/>
                <w:kern w:val="0"/>
                <w:sz w:val="22"/>
                <w:szCs w:val="22"/>
                <w:lang w:val="en-US" w:eastAsia="zh-CN" w:bidi="ar"/>
              </w:rPr>
              <w:t>万</w:t>
            </w:r>
            <w:r>
              <w:rPr>
                <w:rFonts w:hint="eastAsia" w:ascii="宋体" w:hAnsi="宋体" w:eastAsia="宋体" w:cs="宋体"/>
                <w:b/>
                <w:bCs/>
                <w:snapToGrid w:val="0"/>
                <w:color w:val="000000"/>
                <w:kern w:val="0"/>
                <w:sz w:val="22"/>
                <w:szCs w:val="22"/>
                <w:lang w:bidi="ar"/>
              </w:rPr>
              <w:t>元）</w:t>
            </w: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固定资产（</w:t>
            </w:r>
            <w:r>
              <w:rPr>
                <w:rFonts w:hint="eastAsia" w:ascii="宋体" w:hAnsi="宋体" w:eastAsia="宋体" w:cs="宋体"/>
                <w:b/>
                <w:bCs/>
                <w:snapToGrid w:val="0"/>
                <w:color w:val="000000"/>
                <w:kern w:val="0"/>
                <w:sz w:val="22"/>
                <w:szCs w:val="22"/>
                <w:lang w:val="en-US" w:eastAsia="zh-CN" w:bidi="ar"/>
              </w:rPr>
              <w:t>万</w:t>
            </w:r>
            <w:r>
              <w:rPr>
                <w:rFonts w:hint="eastAsia" w:ascii="宋体" w:hAnsi="宋体" w:eastAsia="宋体" w:cs="宋体"/>
                <w:b/>
                <w:bCs/>
                <w:snapToGrid w:val="0"/>
                <w:color w:val="000000"/>
                <w:kern w:val="0"/>
                <w:sz w:val="22"/>
                <w:szCs w:val="22"/>
                <w:lang w:bidi="ar"/>
              </w:rPr>
              <w:t>元）</w:t>
            </w:r>
          </w:p>
        </w:tc>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资产负债率（%）</w:t>
            </w:r>
          </w:p>
        </w:tc>
        <w:tc>
          <w:tcPr>
            <w:tcW w:w="1401"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1348"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p>
        </w:tc>
      </w:tr>
      <w:tr>
        <w:tblPrEx>
          <w:tblCellMar>
            <w:top w:w="0" w:type="dxa"/>
            <w:left w:w="108" w:type="dxa"/>
            <w:bottom w:w="0" w:type="dxa"/>
            <w:right w:w="108" w:type="dxa"/>
          </w:tblCellMar>
        </w:tblPrEx>
        <w:trPr>
          <w:trHeight w:val="315" w:hRule="atLeast"/>
          <w:jc w:val="center"/>
        </w:trPr>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 w:val="22"/>
                <w:szCs w:val="22"/>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 w:val="22"/>
                <w:szCs w:val="22"/>
              </w:rPr>
            </w:pP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 w:val="22"/>
                <w:szCs w:val="22"/>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 w:val="22"/>
                <w:szCs w:val="22"/>
              </w:rPr>
            </w:pPr>
          </w:p>
        </w:tc>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 w:val="22"/>
                <w:szCs w:val="22"/>
              </w:rPr>
            </w:pP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 w:val="22"/>
                <w:szCs w:val="22"/>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 w:val="22"/>
                <w:szCs w:val="22"/>
              </w:rPr>
            </w:pPr>
          </w:p>
        </w:tc>
      </w:tr>
    </w:tbl>
    <w:p>
      <w:pPr>
        <w:widowControl/>
        <w:spacing w:line="560" w:lineRule="exact"/>
        <w:ind w:firstLine="640" w:firstLineChars="200"/>
        <w:rPr>
          <w:rFonts w:ascii="黑体" w:hAnsi="黑体" w:eastAsia="黑体" w:cs="Times New Roman"/>
          <w:bCs/>
          <w:snapToGrid w:val="0"/>
          <w:kern w:val="32"/>
          <w:sz w:val="32"/>
          <w:szCs w:val="32"/>
        </w:rPr>
      </w:pPr>
      <w:r>
        <w:rPr>
          <w:rFonts w:hint="eastAsia" w:ascii="黑体" w:hAnsi="黑体" w:eastAsia="黑体" w:cs="Times New Roman"/>
          <w:bCs/>
          <w:snapToGrid w:val="0"/>
          <w:kern w:val="32"/>
          <w:sz w:val="32"/>
          <w:szCs w:val="32"/>
        </w:rPr>
        <w:t>二、申报项目基本情况</w:t>
      </w:r>
    </w:p>
    <w:p>
      <w:pPr>
        <w:widowControl/>
        <w:spacing w:line="560" w:lineRule="exact"/>
        <w:ind w:firstLine="643" w:firstLineChars="200"/>
        <w:rPr>
          <w:rFonts w:hint="eastAsia" w:ascii="仿宋_GB2312" w:hAnsi="宋体" w:eastAsia="仿宋_GB2312" w:cs="Times New Roman"/>
          <w:bCs/>
          <w:snapToGrid w:val="0"/>
          <w:kern w:val="32"/>
          <w:sz w:val="32"/>
          <w:szCs w:val="32"/>
          <w:u w:val="single"/>
          <w:lang w:val="en-US" w:eastAsia="zh-CN"/>
        </w:rPr>
      </w:pPr>
      <w:r>
        <w:rPr>
          <w:rFonts w:hint="eastAsia" w:ascii="仿宋_GB2312" w:hAnsi="宋体" w:eastAsia="仿宋_GB2312" w:cs="Times New Roman"/>
          <w:b/>
          <w:bCs w:val="0"/>
          <w:snapToGrid w:val="0"/>
          <w:kern w:val="32"/>
          <w:sz w:val="32"/>
          <w:szCs w:val="32"/>
        </w:rPr>
        <w:t>按照申报方向</w:t>
      </w:r>
      <w:r>
        <w:rPr>
          <w:rFonts w:hint="eastAsia" w:ascii="仿宋_GB2312" w:hAnsi="宋体" w:eastAsia="仿宋_GB2312" w:cs="Times New Roman"/>
          <w:bCs/>
          <w:snapToGrid w:val="0"/>
          <w:kern w:val="32"/>
          <w:sz w:val="32"/>
          <w:szCs w:val="32"/>
        </w:rPr>
        <w:t>，以充电站为单元，分类别说明项目基本情况，包括但不限于：项目名称、建设地点、建设内容及规模、充电设备功率类型及技术参数、充电桩与停车位比、项目总投资及分项投资、项目投运时间等情况</w:t>
      </w:r>
      <w:r>
        <w:rPr>
          <w:rFonts w:hint="eastAsia" w:ascii="仿宋_GB2312" w:hAnsi="宋体" w:eastAsia="仿宋_GB2312" w:cs="Times New Roman"/>
          <w:bCs/>
          <w:snapToGrid w:val="0"/>
          <w:kern w:val="32"/>
          <w:sz w:val="32"/>
          <w:szCs w:val="32"/>
          <w:lang w:eastAsia="zh-CN"/>
        </w:rPr>
        <w:t>，</w:t>
      </w:r>
      <w:r>
        <w:rPr>
          <w:rFonts w:hint="eastAsia" w:ascii="仿宋_GB2312" w:hAnsi="宋体" w:eastAsia="仿宋_GB2312" w:cs="Times New Roman"/>
          <w:bCs/>
          <w:snapToGrid w:val="0"/>
          <w:kern w:val="32"/>
          <w:sz w:val="32"/>
          <w:szCs w:val="32"/>
          <w:u w:val="none"/>
          <w:lang w:val="en-US" w:eastAsia="zh-CN"/>
        </w:rPr>
        <w:t>其中“统建统服”试点项目、充电精品示范区项目还需说明</w:t>
      </w:r>
      <w:r>
        <w:rPr>
          <w:rFonts w:hint="eastAsia" w:ascii="仿宋_GB2312" w:hAnsi="宋体" w:eastAsia="仿宋_GB2312" w:cs="Times New Roman"/>
          <w:bCs/>
          <w:snapToGrid w:val="0"/>
          <w:kern w:val="32"/>
          <w:sz w:val="32"/>
          <w:szCs w:val="32"/>
          <w:u w:val="none"/>
        </w:rPr>
        <w:t>项目符合“统建统服”、充电精品示范区要求等情况</w:t>
      </w:r>
      <w:r>
        <w:rPr>
          <w:rFonts w:hint="eastAsia" w:ascii="仿宋_GB2312" w:hAnsi="宋体" w:eastAsia="仿宋_GB2312" w:cs="Times New Roman"/>
          <w:bCs/>
          <w:snapToGrid w:val="0"/>
          <w:kern w:val="32"/>
          <w:sz w:val="32"/>
          <w:szCs w:val="32"/>
          <w:u w:val="none"/>
          <w:lang w:eastAsia="zh-CN"/>
        </w:rPr>
        <w:t>。</w:t>
      </w:r>
    </w:p>
    <w:p>
      <w:pPr>
        <w:spacing w:line="560" w:lineRule="exact"/>
        <w:jc w:val="center"/>
        <w:rPr>
          <w:rFonts w:ascii="黑体" w:hAnsi="黑体" w:eastAsia="黑体" w:cs="Times New Roman"/>
          <w:bCs/>
          <w:snapToGrid w:val="0"/>
          <w:kern w:val="32"/>
          <w:sz w:val="28"/>
          <w:szCs w:val="32"/>
        </w:rPr>
      </w:pPr>
      <w:r>
        <w:rPr>
          <w:rFonts w:hint="eastAsia" w:ascii="黑体" w:hAnsi="黑体" w:eastAsia="黑体" w:cs="Times New Roman"/>
          <w:bCs/>
          <w:snapToGrid w:val="0"/>
          <w:kern w:val="32"/>
          <w:sz w:val="28"/>
          <w:szCs w:val="32"/>
        </w:rPr>
        <w:t xml:space="preserve">表2 </w:t>
      </w:r>
      <w:r>
        <w:rPr>
          <w:rFonts w:hint="eastAsia" w:ascii="黑体" w:hAnsi="黑体" w:eastAsia="黑体" w:cs="Times New Roman"/>
          <w:bCs/>
          <w:snapToGrid w:val="0"/>
          <w:kern w:val="32"/>
          <w:sz w:val="28"/>
          <w:szCs w:val="32"/>
          <w:u w:val="single"/>
        </w:rPr>
        <w:t xml:space="preserve"> 填写申报方向  </w:t>
      </w:r>
      <w:r>
        <w:rPr>
          <w:rFonts w:hint="eastAsia" w:ascii="黑体" w:hAnsi="黑体" w:eastAsia="黑体" w:cs="Times New Roman"/>
          <w:bCs/>
          <w:snapToGrid w:val="0"/>
          <w:kern w:val="32"/>
          <w:sz w:val="28"/>
          <w:szCs w:val="32"/>
        </w:rPr>
        <w:t>申报项目基本情况</w:t>
      </w:r>
    </w:p>
    <w:tbl>
      <w:tblPr>
        <w:tblStyle w:val="9"/>
        <w:tblW w:w="8519" w:type="dxa"/>
        <w:jc w:val="center"/>
        <w:tblLayout w:type="fixed"/>
        <w:tblCellMar>
          <w:top w:w="0" w:type="dxa"/>
          <w:left w:w="108" w:type="dxa"/>
          <w:bottom w:w="0" w:type="dxa"/>
          <w:right w:w="108" w:type="dxa"/>
        </w:tblCellMar>
      </w:tblPr>
      <w:tblGrid>
        <w:gridCol w:w="835"/>
        <w:gridCol w:w="689"/>
        <w:gridCol w:w="1055"/>
        <w:gridCol w:w="954"/>
        <w:gridCol w:w="818"/>
        <w:gridCol w:w="897"/>
        <w:gridCol w:w="919"/>
        <w:gridCol w:w="975"/>
        <w:gridCol w:w="738"/>
        <w:gridCol w:w="639"/>
      </w:tblGrid>
      <w:tr>
        <w:tblPrEx>
          <w:tblCellMar>
            <w:top w:w="0" w:type="dxa"/>
            <w:left w:w="108" w:type="dxa"/>
            <w:bottom w:w="0" w:type="dxa"/>
            <w:right w:w="108" w:type="dxa"/>
          </w:tblCellMar>
        </w:tblPrEx>
        <w:trPr>
          <w:trHeight w:val="405" w:hRule="atLeast"/>
          <w:tblHeader/>
          <w:jc w:val="center"/>
        </w:trPr>
        <w:tc>
          <w:tcPr>
            <w:tcW w:w="83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充</w:t>
            </w:r>
            <w:r>
              <w:rPr>
                <w:rFonts w:hint="eastAsia" w:ascii="宋体" w:hAnsi="宋体" w:eastAsia="宋体" w:cs="宋体"/>
                <w:b/>
                <w:bCs/>
                <w:snapToGrid w:val="0"/>
                <w:color w:val="000000"/>
                <w:kern w:val="0"/>
                <w:sz w:val="22"/>
                <w:szCs w:val="22"/>
                <w:lang w:eastAsia="zh-Hans" w:bidi="ar"/>
              </w:rPr>
              <w:t>换</w:t>
            </w:r>
            <w:r>
              <w:rPr>
                <w:rFonts w:hint="eastAsia" w:ascii="宋体" w:hAnsi="宋体" w:eastAsia="宋体" w:cs="宋体"/>
                <w:b/>
                <w:bCs/>
                <w:snapToGrid w:val="0"/>
                <w:color w:val="000000"/>
                <w:kern w:val="0"/>
                <w:sz w:val="22"/>
                <w:szCs w:val="22"/>
                <w:lang w:bidi="ar"/>
              </w:rPr>
              <w:t>电站名称</w:t>
            </w:r>
          </w:p>
        </w:tc>
        <w:tc>
          <w:tcPr>
            <w:tcW w:w="689"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建设地点</w:t>
            </w:r>
          </w:p>
        </w:tc>
        <w:tc>
          <w:tcPr>
            <w:tcW w:w="105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充电桩数量（个）</w:t>
            </w:r>
          </w:p>
        </w:tc>
        <w:tc>
          <w:tcPr>
            <w:tcW w:w="954"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eastAsia="zh-Hans" w:bidi="ar"/>
              </w:rPr>
              <w:t>功率</w:t>
            </w:r>
            <w:r>
              <w:rPr>
                <w:rFonts w:ascii="宋体" w:hAnsi="宋体" w:eastAsia="宋体" w:cs="宋体"/>
                <w:b/>
                <w:bCs/>
                <w:snapToGrid w:val="0"/>
                <w:color w:val="000000"/>
                <w:kern w:val="0"/>
                <w:sz w:val="22"/>
                <w:szCs w:val="22"/>
                <w:lang w:eastAsia="zh-Hans" w:bidi="ar"/>
              </w:rPr>
              <w:t>（kW)</w:t>
            </w:r>
          </w:p>
        </w:tc>
        <w:tc>
          <w:tcPr>
            <w:tcW w:w="818"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充电桩与停车位比</w:t>
            </w:r>
          </w:p>
        </w:tc>
        <w:tc>
          <w:tcPr>
            <w:tcW w:w="35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总投资情况（万元）</w:t>
            </w:r>
          </w:p>
        </w:tc>
        <w:tc>
          <w:tcPr>
            <w:tcW w:w="639"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eastAsia="zh-Hans" w:bidi="ar"/>
              </w:rPr>
            </w:pPr>
            <w:r>
              <w:rPr>
                <w:rFonts w:hint="eastAsia" w:ascii="宋体" w:hAnsi="宋体" w:eastAsia="宋体" w:cs="宋体"/>
                <w:b/>
                <w:bCs/>
                <w:snapToGrid w:val="0"/>
                <w:color w:val="000000"/>
                <w:kern w:val="0"/>
                <w:sz w:val="22"/>
                <w:szCs w:val="22"/>
                <w:lang w:bidi="ar"/>
              </w:rPr>
              <w:t>投运时间</w:t>
            </w:r>
          </w:p>
        </w:tc>
      </w:tr>
      <w:tr>
        <w:tblPrEx>
          <w:tblCellMar>
            <w:top w:w="0" w:type="dxa"/>
            <w:left w:w="108" w:type="dxa"/>
            <w:bottom w:w="0" w:type="dxa"/>
            <w:right w:w="108" w:type="dxa"/>
          </w:tblCellMar>
        </w:tblPrEx>
        <w:trPr>
          <w:trHeight w:val="662" w:hRule="atLeast"/>
          <w:tblHeader/>
          <w:jc w:val="center"/>
        </w:trPr>
        <w:tc>
          <w:tcPr>
            <w:tcW w:w="835"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689"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1055"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954"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818"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建筑工程费</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充电桩购置费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电力增容</w:t>
            </w:r>
            <w:r>
              <w:rPr>
                <w:rFonts w:hint="eastAsia" w:ascii="宋体" w:hAnsi="宋体" w:eastAsia="宋体" w:cs="宋体"/>
                <w:b/>
                <w:bCs/>
                <w:snapToGrid w:val="0"/>
                <w:color w:val="000000"/>
                <w:kern w:val="0"/>
                <w:sz w:val="22"/>
                <w:szCs w:val="22"/>
                <w:lang w:eastAsia="zh-Hans" w:bidi="ar"/>
              </w:rPr>
              <w:t>费</w:t>
            </w:r>
          </w:p>
        </w:tc>
        <w:tc>
          <w:tcPr>
            <w:tcW w:w="738" w:type="dxa"/>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其他</w:t>
            </w:r>
          </w:p>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费用</w:t>
            </w:r>
          </w:p>
        </w:tc>
        <w:tc>
          <w:tcPr>
            <w:tcW w:w="639"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p>
        </w:tc>
      </w:tr>
      <w:tr>
        <w:tblPrEx>
          <w:tblCellMar>
            <w:top w:w="0" w:type="dxa"/>
            <w:left w:w="108" w:type="dxa"/>
            <w:bottom w:w="0" w:type="dxa"/>
            <w:right w:w="108" w:type="dxa"/>
          </w:tblCellMar>
        </w:tblPrEx>
        <w:trPr>
          <w:trHeight w:val="285" w:hRule="atLeast"/>
          <w:jc w:val="center"/>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r>
    </w:tbl>
    <w:p/>
    <w:p>
      <w:pPr>
        <w:spacing w:line="560" w:lineRule="exact"/>
        <w:jc w:val="center"/>
        <w:rPr>
          <w:rFonts w:ascii="黑体" w:hAnsi="黑体" w:eastAsia="黑体" w:cs="Times New Roman"/>
          <w:bCs/>
          <w:snapToGrid w:val="0"/>
          <w:kern w:val="32"/>
          <w:sz w:val="28"/>
          <w:szCs w:val="32"/>
        </w:rPr>
      </w:pPr>
      <w:r>
        <w:rPr>
          <w:rFonts w:hint="eastAsia" w:ascii="黑体" w:hAnsi="黑体" w:eastAsia="黑体" w:cs="Times New Roman"/>
          <w:bCs/>
          <w:snapToGrid w:val="0"/>
          <w:kern w:val="32"/>
          <w:sz w:val="28"/>
          <w:szCs w:val="32"/>
        </w:rPr>
        <w:t xml:space="preserve">表3 </w:t>
      </w:r>
      <w:r>
        <w:rPr>
          <w:rFonts w:hint="eastAsia" w:ascii="黑体" w:hAnsi="黑体" w:eastAsia="黑体" w:cs="Times New Roman"/>
          <w:bCs/>
          <w:snapToGrid w:val="0"/>
          <w:kern w:val="32"/>
          <w:sz w:val="28"/>
          <w:szCs w:val="32"/>
          <w:u w:val="single"/>
        </w:rPr>
        <w:t xml:space="preserve"> 换电设施  </w:t>
      </w:r>
      <w:r>
        <w:rPr>
          <w:rFonts w:hint="eastAsia" w:ascii="黑体" w:hAnsi="黑体" w:eastAsia="黑体" w:cs="Times New Roman"/>
          <w:bCs/>
          <w:snapToGrid w:val="0"/>
          <w:kern w:val="32"/>
          <w:sz w:val="28"/>
          <w:szCs w:val="32"/>
        </w:rPr>
        <w:t>申报项目基本情况</w:t>
      </w:r>
    </w:p>
    <w:tbl>
      <w:tblPr>
        <w:tblStyle w:val="9"/>
        <w:tblW w:w="8561" w:type="dxa"/>
        <w:jc w:val="center"/>
        <w:tblLayout w:type="fixed"/>
        <w:tblCellMar>
          <w:top w:w="0" w:type="dxa"/>
          <w:left w:w="108" w:type="dxa"/>
          <w:bottom w:w="0" w:type="dxa"/>
          <w:right w:w="108" w:type="dxa"/>
        </w:tblCellMar>
      </w:tblPr>
      <w:tblGrid>
        <w:gridCol w:w="696"/>
        <w:gridCol w:w="575"/>
        <w:gridCol w:w="879"/>
        <w:gridCol w:w="769"/>
        <w:gridCol w:w="769"/>
        <w:gridCol w:w="795"/>
        <w:gridCol w:w="747"/>
        <w:gridCol w:w="765"/>
        <w:gridCol w:w="713"/>
        <w:gridCol w:w="615"/>
        <w:gridCol w:w="623"/>
        <w:gridCol w:w="615"/>
      </w:tblGrid>
      <w:tr>
        <w:tblPrEx>
          <w:tblCellMar>
            <w:top w:w="0" w:type="dxa"/>
            <w:left w:w="108" w:type="dxa"/>
            <w:bottom w:w="0" w:type="dxa"/>
            <w:right w:w="108" w:type="dxa"/>
          </w:tblCellMar>
        </w:tblPrEx>
        <w:trPr>
          <w:trHeight w:val="405" w:hRule="atLeast"/>
          <w:tblHeader/>
          <w:jc w:val="center"/>
        </w:trPr>
        <w:tc>
          <w:tcPr>
            <w:tcW w:w="696"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eastAsia="zh-Hans" w:bidi="ar"/>
              </w:rPr>
              <w:t>换</w:t>
            </w:r>
            <w:r>
              <w:rPr>
                <w:rFonts w:hint="eastAsia" w:ascii="宋体" w:hAnsi="宋体" w:eastAsia="宋体" w:cs="宋体"/>
                <w:b/>
                <w:bCs/>
                <w:snapToGrid w:val="0"/>
                <w:color w:val="000000"/>
                <w:kern w:val="0"/>
                <w:sz w:val="22"/>
                <w:szCs w:val="22"/>
                <w:lang w:bidi="ar"/>
              </w:rPr>
              <w:t>电站名称</w:t>
            </w:r>
          </w:p>
        </w:tc>
        <w:tc>
          <w:tcPr>
            <w:tcW w:w="57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建设地点</w:t>
            </w:r>
          </w:p>
        </w:tc>
        <w:tc>
          <w:tcPr>
            <w:tcW w:w="879"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充电机数量（个）</w:t>
            </w:r>
          </w:p>
        </w:tc>
        <w:tc>
          <w:tcPr>
            <w:tcW w:w="769"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电池仓数量（个）</w:t>
            </w:r>
          </w:p>
        </w:tc>
        <w:tc>
          <w:tcPr>
            <w:tcW w:w="769"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电池数量（个）</w:t>
            </w:r>
          </w:p>
        </w:tc>
        <w:tc>
          <w:tcPr>
            <w:tcW w:w="79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充电机总</w:t>
            </w:r>
            <w:r>
              <w:rPr>
                <w:rFonts w:hint="eastAsia" w:ascii="宋体" w:hAnsi="宋体" w:eastAsia="宋体" w:cs="宋体"/>
                <w:b/>
                <w:bCs/>
                <w:snapToGrid w:val="0"/>
                <w:color w:val="000000"/>
                <w:kern w:val="0"/>
                <w:sz w:val="22"/>
                <w:szCs w:val="22"/>
                <w:lang w:eastAsia="zh-Hans" w:bidi="ar"/>
              </w:rPr>
              <w:t>功率</w:t>
            </w:r>
            <w:r>
              <w:rPr>
                <w:rFonts w:ascii="宋体" w:hAnsi="宋体" w:eastAsia="宋体" w:cs="宋体"/>
                <w:b/>
                <w:bCs/>
                <w:snapToGrid w:val="0"/>
                <w:color w:val="000000"/>
                <w:kern w:val="0"/>
                <w:sz w:val="22"/>
                <w:szCs w:val="22"/>
                <w:lang w:eastAsia="zh-Hans" w:bidi="ar"/>
              </w:rPr>
              <w:t>（kW)</w:t>
            </w:r>
          </w:p>
        </w:tc>
        <w:tc>
          <w:tcPr>
            <w:tcW w:w="34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总投资情况（万元）</w:t>
            </w:r>
          </w:p>
        </w:tc>
        <w:tc>
          <w:tcPr>
            <w:tcW w:w="61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eastAsia="zh-Hans" w:bidi="ar"/>
              </w:rPr>
            </w:pPr>
            <w:r>
              <w:rPr>
                <w:rFonts w:hint="eastAsia" w:ascii="宋体" w:hAnsi="宋体" w:eastAsia="宋体" w:cs="宋体"/>
                <w:b/>
                <w:bCs/>
                <w:snapToGrid w:val="0"/>
                <w:color w:val="000000"/>
                <w:kern w:val="0"/>
                <w:sz w:val="22"/>
                <w:szCs w:val="22"/>
                <w:lang w:bidi="ar"/>
              </w:rPr>
              <w:t>投运时间</w:t>
            </w:r>
          </w:p>
        </w:tc>
      </w:tr>
      <w:tr>
        <w:tblPrEx>
          <w:tblCellMar>
            <w:top w:w="0" w:type="dxa"/>
            <w:left w:w="108" w:type="dxa"/>
            <w:bottom w:w="0" w:type="dxa"/>
            <w:right w:w="108" w:type="dxa"/>
          </w:tblCellMar>
        </w:tblPrEx>
        <w:trPr>
          <w:trHeight w:val="516" w:hRule="atLeast"/>
          <w:tblHeader/>
          <w:jc w:val="center"/>
        </w:trPr>
        <w:tc>
          <w:tcPr>
            <w:tcW w:w="696"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575"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879"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769"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769"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795"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建筑工程费</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换电站设备购置费</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32"/>
                <w:sz w:val="22"/>
                <w:szCs w:val="22"/>
              </w:rPr>
            </w:pPr>
            <w:r>
              <w:rPr>
                <w:rFonts w:hint="eastAsia" w:ascii="宋体" w:hAnsi="宋体" w:eastAsia="宋体" w:cs="宋体"/>
                <w:b/>
                <w:bCs/>
                <w:snapToGrid w:val="0"/>
                <w:color w:val="000000"/>
                <w:kern w:val="0"/>
                <w:sz w:val="22"/>
                <w:szCs w:val="22"/>
                <w:lang w:bidi="ar"/>
              </w:rPr>
              <w:t>电力增容</w:t>
            </w:r>
            <w:r>
              <w:rPr>
                <w:rFonts w:hint="eastAsia" w:ascii="宋体" w:hAnsi="宋体" w:eastAsia="宋体" w:cs="宋体"/>
                <w:b/>
                <w:bCs/>
                <w:snapToGrid w:val="0"/>
                <w:color w:val="000000"/>
                <w:kern w:val="0"/>
                <w:sz w:val="22"/>
                <w:szCs w:val="22"/>
                <w:lang w:eastAsia="zh-Hans" w:bidi="ar"/>
              </w:rPr>
              <w:t>费</w:t>
            </w:r>
          </w:p>
        </w:tc>
        <w:tc>
          <w:tcPr>
            <w:tcW w:w="615" w:type="dxa"/>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电池购置费</w:t>
            </w:r>
          </w:p>
        </w:tc>
        <w:tc>
          <w:tcPr>
            <w:tcW w:w="623" w:type="dxa"/>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其他</w:t>
            </w:r>
          </w:p>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费用</w:t>
            </w:r>
          </w:p>
        </w:tc>
        <w:tc>
          <w:tcPr>
            <w:tcW w:w="615"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snapToGrid w:val="0"/>
                <w:color w:val="000000"/>
                <w:kern w:val="0"/>
                <w:sz w:val="22"/>
                <w:szCs w:val="22"/>
                <w:lang w:bidi="ar"/>
              </w:rPr>
            </w:pPr>
          </w:p>
        </w:tc>
      </w:tr>
      <w:tr>
        <w:tblPrEx>
          <w:tblCellMar>
            <w:top w:w="0" w:type="dxa"/>
            <w:left w:w="108" w:type="dxa"/>
            <w:bottom w:w="0" w:type="dxa"/>
            <w:right w:w="108" w:type="dxa"/>
          </w:tblCellMar>
        </w:tblPrEx>
        <w:trPr>
          <w:trHeight w:val="285" w:hRule="atLeast"/>
          <w:jc w:val="center"/>
        </w:trPr>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napToGrid w:val="0"/>
                <w:color w:val="000000"/>
                <w:kern w:val="32"/>
                <w:szCs w:val="21"/>
              </w:rPr>
            </w:pPr>
          </w:p>
        </w:tc>
      </w:tr>
    </w:tbl>
    <w:p>
      <w:pPr>
        <w:widowControl/>
        <w:spacing w:line="560" w:lineRule="exact"/>
        <w:ind w:firstLine="640" w:firstLineChars="200"/>
        <w:rPr>
          <w:rFonts w:ascii="黑体" w:hAnsi="黑体" w:eastAsia="黑体" w:cs="Times New Roman"/>
          <w:bCs/>
          <w:snapToGrid w:val="0"/>
          <w:kern w:val="32"/>
          <w:sz w:val="32"/>
          <w:szCs w:val="32"/>
        </w:rPr>
      </w:pPr>
      <w:r>
        <w:rPr>
          <w:rFonts w:hint="eastAsia" w:ascii="黑体" w:hAnsi="黑体" w:eastAsia="黑体" w:cs="Times New Roman"/>
          <w:bCs/>
          <w:snapToGrid w:val="0"/>
          <w:kern w:val="32"/>
          <w:sz w:val="32"/>
          <w:szCs w:val="32"/>
        </w:rPr>
        <w:t>三、</w:t>
      </w:r>
      <w:r>
        <w:rPr>
          <w:rFonts w:hint="eastAsia" w:ascii="黑体" w:hAnsi="黑体" w:eastAsia="黑体" w:cs="Times New Roman"/>
          <w:bCs/>
          <w:snapToGrid w:val="0"/>
          <w:kern w:val="32"/>
          <w:sz w:val="32"/>
          <w:szCs w:val="32"/>
          <w:lang w:eastAsia="zh-Hans"/>
        </w:rPr>
        <w:t>自建</w:t>
      </w:r>
      <w:r>
        <w:rPr>
          <w:rFonts w:hint="eastAsia" w:ascii="黑体" w:hAnsi="黑体" w:eastAsia="黑体" w:cs="Times New Roman"/>
          <w:bCs/>
          <w:snapToGrid w:val="0"/>
          <w:kern w:val="32"/>
          <w:sz w:val="32"/>
          <w:szCs w:val="32"/>
        </w:rPr>
        <w:t>平台运营情况</w:t>
      </w:r>
    </w:p>
    <w:p>
      <w:pPr>
        <w:spacing w:line="560" w:lineRule="exact"/>
        <w:ind w:firstLine="640" w:firstLineChars="200"/>
        <w:rPr>
          <w:rFonts w:ascii="黑体" w:hAnsi="黑体" w:eastAsia="黑体" w:cs="Times New Roman"/>
          <w:bCs/>
          <w:snapToGrid w:val="0"/>
          <w:kern w:val="32"/>
          <w:sz w:val="28"/>
          <w:szCs w:val="32"/>
        </w:rPr>
      </w:pPr>
      <w:r>
        <w:rPr>
          <w:rFonts w:hint="eastAsia" w:ascii="仿宋_GB2312" w:hAnsi="宋体" w:eastAsia="仿宋_GB2312" w:cs="Times New Roman"/>
          <w:bCs/>
          <w:snapToGrid w:val="0"/>
          <w:kern w:val="32"/>
          <w:sz w:val="32"/>
          <w:szCs w:val="32"/>
        </w:rPr>
        <w:t>包括平台建设概况、功能、运营状况、与市级平台对接情况（包括但不限于接入</w:t>
      </w:r>
      <w:r>
        <w:rPr>
          <w:rFonts w:hint="eastAsia" w:ascii="仿宋_GB2312" w:hAnsi="宋体" w:eastAsia="仿宋_GB2312" w:cs="宋体"/>
          <w:bCs/>
          <w:snapToGrid w:val="0"/>
          <w:color w:val="000000"/>
          <w:kern w:val="32"/>
          <w:sz w:val="32"/>
          <w:szCs w:val="32"/>
        </w:rPr>
        <w:t>充换电设施总数量和功率、状态信息互联互通情况、充电订单传送情况等）</w:t>
      </w:r>
      <w:r>
        <w:rPr>
          <w:rFonts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lang w:eastAsia="zh-Hans"/>
        </w:rPr>
        <w:t>若没有自建平台</w:t>
      </w:r>
      <w:r>
        <w:rPr>
          <w:rFonts w:ascii="仿宋_GB2312" w:hAnsi="宋体" w:eastAsia="仿宋_GB2312" w:cs="宋体"/>
          <w:bCs/>
          <w:snapToGrid w:val="0"/>
          <w:color w:val="000000"/>
          <w:kern w:val="32"/>
          <w:sz w:val="32"/>
          <w:szCs w:val="32"/>
          <w:lang w:eastAsia="zh-Hans"/>
        </w:rPr>
        <w:t>，</w:t>
      </w:r>
      <w:r>
        <w:rPr>
          <w:rFonts w:hint="eastAsia" w:ascii="仿宋_GB2312" w:hAnsi="宋体" w:eastAsia="仿宋_GB2312" w:cs="宋体"/>
          <w:bCs/>
          <w:snapToGrid w:val="0"/>
          <w:color w:val="000000"/>
          <w:kern w:val="32"/>
          <w:sz w:val="32"/>
          <w:szCs w:val="32"/>
          <w:lang w:eastAsia="zh-Hans"/>
        </w:rPr>
        <w:t>则</w:t>
      </w:r>
      <w:r>
        <w:rPr>
          <w:rFonts w:hint="eastAsia" w:ascii="仿宋_GB2312" w:hAnsi="宋体" w:eastAsia="仿宋_GB2312" w:cs="宋体"/>
          <w:bCs/>
          <w:snapToGrid w:val="0"/>
          <w:color w:val="000000"/>
          <w:kern w:val="32"/>
          <w:sz w:val="32"/>
          <w:szCs w:val="32"/>
        </w:rPr>
        <w:t>说明委托平台的情况。</w:t>
      </w:r>
    </w:p>
    <w:p>
      <w:pPr>
        <w:spacing w:line="560" w:lineRule="exact"/>
        <w:jc w:val="center"/>
        <w:rPr>
          <w:rFonts w:ascii="黑体" w:hAnsi="黑体" w:eastAsia="黑体" w:cs="Times New Roman"/>
          <w:bCs/>
          <w:snapToGrid w:val="0"/>
          <w:kern w:val="32"/>
          <w:sz w:val="28"/>
          <w:szCs w:val="32"/>
        </w:rPr>
      </w:pPr>
      <w:r>
        <w:rPr>
          <w:rFonts w:hint="eastAsia" w:ascii="黑体" w:hAnsi="黑体" w:eastAsia="黑体" w:cs="Times New Roman"/>
          <w:bCs/>
          <w:snapToGrid w:val="0"/>
          <w:kern w:val="32"/>
          <w:sz w:val="28"/>
          <w:szCs w:val="32"/>
        </w:rPr>
        <w:t>表3 申报单位平台运营情况</w:t>
      </w:r>
    </w:p>
    <w:tbl>
      <w:tblPr>
        <w:tblStyle w:val="10"/>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
        <w:gridCol w:w="417"/>
        <w:gridCol w:w="819"/>
        <w:gridCol w:w="819"/>
        <w:gridCol w:w="618"/>
        <w:gridCol w:w="685"/>
        <w:gridCol w:w="738"/>
        <w:gridCol w:w="677"/>
        <w:gridCol w:w="703"/>
        <w:gridCol w:w="420"/>
        <w:gridCol w:w="780"/>
        <w:gridCol w:w="735"/>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17" w:type="dxa"/>
            <w:vMerge w:val="restart"/>
          </w:tcPr>
          <w:p>
            <w:pPr>
              <w:widowControl/>
              <w:jc w:val="center"/>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bidi="ar"/>
              </w:rPr>
              <w:t>平台名称</w:t>
            </w:r>
          </w:p>
        </w:tc>
        <w:tc>
          <w:tcPr>
            <w:tcW w:w="417" w:type="dxa"/>
            <w:vMerge w:val="restart"/>
          </w:tcPr>
          <w:p>
            <w:pPr>
              <w:widowControl/>
              <w:jc w:val="center"/>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bidi="ar"/>
              </w:rPr>
              <w:t>建成时间</w:t>
            </w:r>
          </w:p>
        </w:tc>
        <w:tc>
          <w:tcPr>
            <w:tcW w:w="2256" w:type="dxa"/>
            <w:gridSpan w:val="3"/>
          </w:tcPr>
          <w:p>
            <w:pPr>
              <w:widowControl/>
              <w:jc w:val="center"/>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eastAsia="zh-Hans" w:bidi="ar"/>
              </w:rPr>
              <w:t>运营情况</w:t>
            </w:r>
          </w:p>
        </w:tc>
        <w:tc>
          <w:tcPr>
            <w:tcW w:w="2803" w:type="dxa"/>
            <w:gridSpan w:val="4"/>
          </w:tcPr>
          <w:p>
            <w:pPr>
              <w:widowControl/>
              <w:jc w:val="center"/>
              <w:textAlignment w:val="center"/>
              <w:rPr>
                <w:rFonts w:ascii="宋体" w:hAnsi="宋体" w:eastAsia="宋体" w:cs="宋体"/>
                <w:b/>
                <w:bCs/>
                <w:snapToGrid w:val="0"/>
                <w:color w:val="000000"/>
                <w:kern w:val="0"/>
                <w:sz w:val="20"/>
                <w:szCs w:val="20"/>
                <w:lang w:eastAsia="zh-Hans" w:bidi="ar"/>
              </w:rPr>
            </w:pPr>
            <w:r>
              <w:rPr>
                <w:rFonts w:hint="eastAsia" w:ascii="宋体" w:hAnsi="宋体" w:eastAsia="宋体" w:cs="宋体"/>
                <w:b/>
                <w:bCs/>
                <w:snapToGrid w:val="0"/>
                <w:color w:val="000000"/>
                <w:kern w:val="0"/>
                <w:sz w:val="20"/>
                <w:szCs w:val="20"/>
                <w:lang w:eastAsia="zh-Hans" w:bidi="ar"/>
              </w:rPr>
              <w:t>与市级平台互联互通情况</w:t>
            </w:r>
          </w:p>
        </w:tc>
        <w:tc>
          <w:tcPr>
            <w:tcW w:w="2626" w:type="dxa"/>
            <w:gridSpan w:val="4"/>
          </w:tcPr>
          <w:p>
            <w:pPr>
              <w:widowControl/>
              <w:jc w:val="center"/>
              <w:textAlignment w:val="center"/>
              <w:rPr>
                <w:rFonts w:ascii="宋体" w:hAnsi="宋体" w:eastAsia="宋体" w:cs="宋体"/>
                <w:b/>
                <w:bCs/>
                <w:snapToGrid w:val="0"/>
                <w:color w:val="000000"/>
                <w:kern w:val="0"/>
                <w:sz w:val="20"/>
                <w:szCs w:val="20"/>
                <w:lang w:eastAsia="zh-Hans" w:bidi="ar"/>
              </w:rPr>
            </w:pPr>
            <w:r>
              <w:rPr>
                <w:rFonts w:hint="eastAsia" w:ascii="宋体" w:hAnsi="宋体" w:eastAsia="宋体" w:cs="宋体"/>
                <w:b/>
                <w:bCs/>
                <w:snapToGrid w:val="0"/>
                <w:color w:val="000000"/>
                <w:kern w:val="0"/>
                <w:sz w:val="20"/>
                <w:szCs w:val="20"/>
                <w:lang w:eastAsia="zh-Hans" w:bidi="ar"/>
              </w:rPr>
              <w:t>与其他平台互联互通情况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17" w:type="dxa"/>
            <w:vMerge w:val="continue"/>
          </w:tcPr>
          <w:p>
            <w:pPr>
              <w:widowControl/>
              <w:jc w:val="center"/>
              <w:textAlignment w:val="center"/>
              <w:rPr>
                <w:rFonts w:ascii="宋体" w:hAnsi="宋体" w:eastAsia="宋体" w:cs="宋体"/>
                <w:b/>
                <w:bCs/>
                <w:snapToGrid w:val="0"/>
                <w:color w:val="000000"/>
                <w:kern w:val="0"/>
                <w:sz w:val="20"/>
                <w:szCs w:val="20"/>
                <w:lang w:bidi="ar"/>
              </w:rPr>
            </w:pPr>
          </w:p>
        </w:tc>
        <w:tc>
          <w:tcPr>
            <w:tcW w:w="417" w:type="dxa"/>
            <w:vMerge w:val="continue"/>
          </w:tcPr>
          <w:p>
            <w:pPr>
              <w:widowControl/>
              <w:jc w:val="center"/>
              <w:textAlignment w:val="center"/>
              <w:rPr>
                <w:rFonts w:ascii="宋体" w:hAnsi="宋体" w:eastAsia="宋体" w:cs="宋体"/>
                <w:b/>
                <w:bCs/>
                <w:snapToGrid w:val="0"/>
                <w:color w:val="000000"/>
                <w:kern w:val="0"/>
                <w:sz w:val="20"/>
                <w:szCs w:val="20"/>
                <w:lang w:bidi="ar"/>
              </w:rPr>
            </w:pPr>
          </w:p>
        </w:tc>
        <w:tc>
          <w:tcPr>
            <w:tcW w:w="819" w:type="dxa"/>
          </w:tcPr>
          <w:p>
            <w:pPr>
              <w:widowControl/>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eastAsia="zh-Hans" w:bidi="ar"/>
              </w:rPr>
              <w:t>站数</w:t>
            </w:r>
            <w:r>
              <w:rPr>
                <w:rFonts w:hint="eastAsia" w:ascii="宋体" w:hAnsi="宋体" w:eastAsia="宋体" w:cs="宋体"/>
                <w:b/>
                <w:bCs/>
                <w:snapToGrid w:val="0"/>
                <w:color w:val="000000"/>
                <w:kern w:val="0"/>
                <w:sz w:val="20"/>
                <w:szCs w:val="20"/>
                <w:lang w:bidi="ar"/>
              </w:rPr>
              <w:t>（个）</w:t>
            </w:r>
          </w:p>
        </w:tc>
        <w:tc>
          <w:tcPr>
            <w:tcW w:w="819" w:type="dxa"/>
          </w:tcPr>
          <w:p>
            <w:pPr>
              <w:widowControl/>
              <w:jc w:val="center"/>
              <w:textAlignment w:val="center"/>
              <w:rPr>
                <w:rFonts w:ascii="宋体" w:hAnsi="宋体" w:eastAsia="宋体" w:cs="宋体"/>
                <w:b/>
                <w:bCs/>
                <w:snapToGrid w:val="0"/>
                <w:color w:val="000000"/>
                <w:kern w:val="0"/>
                <w:sz w:val="20"/>
                <w:szCs w:val="20"/>
                <w:lang w:eastAsia="zh-Hans" w:bidi="ar"/>
              </w:rPr>
            </w:pPr>
            <w:r>
              <w:rPr>
                <w:rFonts w:hint="eastAsia" w:ascii="宋体" w:hAnsi="宋体" w:eastAsia="宋体" w:cs="宋体"/>
                <w:b/>
                <w:bCs/>
                <w:snapToGrid w:val="0"/>
                <w:color w:val="000000"/>
                <w:kern w:val="0"/>
                <w:sz w:val="20"/>
                <w:szCs w:val="20"/>
                <w:lang w:eastAsia="zh-Hans" w:bidi="ar"/>
              </w:rPr>
              <w:t>桩数</w:t>
            </w:r>
            <w:r>
              <w:rPr>
                <w:rFonts w:hint="eastAsia" w:ascii="宋体" w:hAnsi="宋体" w:eastAsia="宋体" w:cs="宋体"/>
                <w:b/>
                <w:bCs/>
                <w:snapToGrid w:val="0"/>
                <w:color w:val="000000"/>
                <w:kern w:val="0"/>
                <w:sz w:val="20"/>
                <w:szCs w:val="20"/>
                <w:lang w:bidi="ar"/>
              </w:rPr>
              <w:t>（个）</w:t>
            </w:r>
          </w:p>
        </w:tc>
        <w:tc>
          <w:tcPr>
            <w:tcW w:w="618" w:type="dxa"/>
          </w:tcPr>
          <w:p>
            <w:pPr>
              <w:widowControl/>
              <w:jc w:val="center"/>
              <w:textAlignment w:val="center"/>
              <w:rPr>
                <w:rFonts w:ascii="宋体" w:hAnsi="宋体" w:eastAsia="宋体" w:cs="宋体"/>
                <w:b/>
                <w:bCs/>
                <w:snapToGrid w:val="0"/>
                <w:color w:val="000000"/>
                <w:kern w:val="0"/>
                <w:sz w:val="20"/>
                <w:szCs w:val="20"/>
                <w:lang w:eastAsia="zh-Hans" w:bidi="ar"/>
              </w:rPr>
            </w:pPr>
            <w:r>
              <w:rPr>
                <w:rFonts w:hint="eastAsia" w:ascii="宋体" w:hAnsi="宋体" w:eastAsia="宋体" w:cs="宋体"/>
                <w:b/>
                <w:bCs/>
                <w:snapToGrid w:val="0"/>
                <w:color w:val="000000"/>
                <w:kern w:val="0"/>
                <w:sz w:val="20"/>
                <w:szCs w:val="20"/>
                <w:lang w:eastAsia="zh-Hans" w:bidi="ar"/>
              </w:rPr>
              <w:t>功率</w:t>
            </w:r>
          </w:p>
          <w:p>
            <w:pPr>
              <w:widowControl/>
              <w:jc w:val="center"/>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bidi="ar"/>
              </w:rPr>
              <w:t>（千瓦）</w:t>
            </w:r>
          </w:p>
        </w:tc>
        <w:tc>
          <w:tcPr>
            <w:tcW w:w="685" w:type="dxa"/>
          </w:tcPr>
          <w:p>
            <w:pPr>
              <w:widowControl/>
              <w:jc w:val="center"/>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bidi="ar"/>
              </w:rPr>
              <w:t>接入站数（个）</w:t>
            </w:r>
          </w:p>
        </w:tc>
        <w:tc>
          <w:tcPr>
            <w:tcW w:w="738" w:type="dxa"/>
          </w:tcPr>
          <w:p>
            <w:pPr>
              <w:widowControl/>
              <w:jc w:val="center"/>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bidi="ar"/>
              </w:rPr>
              <w:t>接入桩数（个）</w:t>
            </w:r>
          </w:p>
        </w:tc>
        <w:tc>
          <w:tcPr>
            <w:tcW w:w="677" w:type="dxa"/>
          </w:tcPr>
          <w:p>
            <w:pPr>
              <w:widowControl/>
              <w:jc w:val="center"/>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bidi="ar"/>
              </w:rPr>
              <w:t>接</w:t>
            </w:r>
            <w:r>
              <w:rPr>
                <w:rFonts w:hint="eastAsia" w:ascii="宋体" w:hAnsi="宋体" w:eastAsia="宋体" w:cs="宋体"/>
                <w:b/>
                <w:bCs/>
                <w:snapToGrid w:val="0"/>
                <w:color w:val="000000"/>
                <w:kern w:val="0"/>
                <w:sz w:val="20"/>
                <w:szCs w:val="20"/>
                <w:lang w:eastAsia="zh-Hans" w:bidi="ar"/>
              </w:rPr>
              <w:t>入</w:t>
            </w:r>
            <w:r>
              <w:rPr>
                <w:rFonts w:hint="eastAsia" w:ascii="宋体" w:hAnsi="宋体" w:eastAsia="宋体" w:cs="宋体"/>
                <w:b/>
                <w:bCs/>
                <w:snapToGrid w:val="0"/>
                <w:color w:val="000000"/>
                <w:kern w:val="0"/>
                <w:sz w:val="20"/>
                <w:szCs w:val="20"/>
                <w:lang w:bidi="ar"/>
              </w:rPr>
              <w:t>功率（千瓦）</w:t>
            </w:r>
          </w:p>
        </w:tc>
        <w:tc>
          <w:tcPr>
            <w:tcW w:w="703" w:type="dxa"/>
          </w:tcPr>
          <w:p>
            <w:pPr>
              <w:widowControl/>
              <w:jc w:val="center"/>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bidi="ar"/>
              </w:rPr>
              <w:t>互联互通程度</w:t>
            </w:r>
          </w:p>
        </w:tc>
        <w:tc>
          <w:tcPr>
            <w:tcW w:w="420" w:type="dxa"/>
          </w:tcPr>
          <w:p>
            <w:pPr>
              <w:widowControl/>
              <w:jc w:val="center"/>
              <w:textAlignment w:val="center"/>
              <w:rPr>
                <w:rFonts w:ascii="宋体" w:hAnsi="宋体" w:eastAsia="宋体" w:cs="宋体"/>
                <w:b/>
                <w:bCs/>
                <w:snapToGrid w:val="0"/>
                <w:color w:val="000000"/>
                <w:kern w:val="0"/>
                <w:sz w:val="20"/>
                <w:szCs w:val="20"/>
                <w:lang w:eastAsia="zh-Hans" w:bidi="ar"/>
              </w:rPr>
            </w:pPr>
            <w:r>
              <w:rPr>
                <w:rFonts w:hint="eastAsia" w:ascii="宋体" w:hAnsi="宋体" w:eastAsia="宋体" w:cs="宋体"/>
                <w:b/>
                <w:bCs/>
                <w:snapToGrid w:val="0"/>
                <w:color w:val="000000"/>
                <w:kern w:val="0"/>
                <w:sz w:val="20"/>
                <w:szCs w:val="20"/>
                <w:lang w:eastAsia="zh-Hans" w:bidi="ar"/>
              </w:rPr>
              <w:t>平台名称</w:t>
            </w:r>
          </w:p>
        </w:tc>
        <w:tc>
          <w:tcPr>
            <w:tcW w:w="780" w:type="dxa"/>
          </w:tcPr>
          <w:p>
            <w:pPr>
              <w:widowControl/>
              <w:jc w:val="center"/>
              <w:textAlignment w:val="center"/>
              <w:rPr>
                <w:rFonts w:ascii="宋体" w:hAnsi="宋体" w:eastAsia="宋体" w:cs="宋体"/>
                <w:b/>
                <w:bCs/>
                <w:snapToGrid w:val="0"/>
                <w:color w:val="000000"/>
                <w:kern w:val="0"/>
                <w:sz w:val="20"/>
                <w:szCs w:val="20"/>
                <w:lang w:eastAsia="zh-Hans" w:bidi="ar"/>
              </w:rPr>
            </w:pPr>
            <w:r>
              <w:rPr>
                <w:rFonts w:hint="eastAsia" w:ascii="宋体" w:hAnsi="宋体" w:eastAsia="宋体" w:cs="宋体"/>
                <w:b/>
                <w:bCs/>
                <w:snapToGrid w:val="0"/>
                <w:color w:val="000000"/>
                <w:kern w:val="0"/>
                <w:sz w:val="20"/>
                <w:szCs w:val="20"/>
                <w:lang w:bidi="ar"/>
              </w:rPr>
              <w:t>接入站数（个）</w:t>
            </w:r>
          </w:p>
        </w:tc>
        <w:tc>
          <w:tcPr>
            <w:tcW w:w="735" w:type="dxa"/>
          </w:tcPr>
          <w:p>
            <w:pPr>
              <w:widowControl/>
              <w:jc w:val="center"/>
              <w:textAlignment w:val="center"/>
              <w:rPr>
                <w:rFonts w:ascii="宋体" w:hAnsi="宋体" w:eastAsia="宋体" w:cs="宋体"/>
                <w:b/>
                <w:bCs/>
                <w:snapToGrid w:val="0"/>
                <w:color w:val="000000"/>
                <w:kern w:val="0"/>
                <w:sz w:val="20"/>
                <w:szCs w:val="20"/>
                <w:lang w:eastAsia="zh-Hans" w:bidi="ar"/>
              </w:rPr>
            </w:pPr>
            <w:r>
              <w:rPr>
                <w:rFonts w:hint="eastAsia" w:ascii="宋体" w:hAnsi="宋体" w:eastAsia="宋体" w:cs="宋体"/>
                <w:b/>
                <w:bCs/>
                <w:snapToGrid w:val="0"/>
                <w:color w:val="000000"/>
                <w:kern w:val="0"/>
                <w:sz w:val="20"/>
                <w:szCs w:val="20"/>
                <w:lang w:bidi="ar"/>
              </w:rPr>
              <w:t>接入桩数（个）</w:t>
            </w:r>
          </w:p>
        </w:tc>
        <w:tc>
          <w:tcPr>
            <w:tcW w:w="691" w:type="dxa"/>
          </w:tcPr>
          <w:p>
            <w:pPr>
              <w:widowControl/>
              <w:textAlignment w:val="center"/>
              <w:rPr>
                <w:rFonts w:ascii="宋体" w:hAnsi="宋体" w:eastAsia="宋体" w:cs="宋体"/>
                <w:b/>
                <w:bCs/>
                <w:snapToGrid w:val="0"/>
                <w:color w:val="000000"/>
                <w:kern w:val="0"/>
                <w:sz w:val="20"/>
                <w:szCs w:val="20"/>
                <w:lang w:bidi="ar"/>
              </w:rPr>
            </w:pPr>
            <w:r>
              <w:rPr>
                <w:rFonts w:hint="eastAsia" w:ascii="宋体" w:hAnsi="宋体" w:eastAsia="宋体" w:cs="宋体"/>
                <w:b/>
                <w:bCs/>
                <w:snapToGrid w:val="0"/>
                <w:color w:val="000000"/>
                <w:kern w:val="0"/>
                <w:sz w:val="20"/>
                <w:szCs w:val="20"/>
                <w:lang w:bidi="ar"/>
              </w:rPr>
              <w:t>接</w:t>
            </w:r>
            <w:r>
              <w:rPr>
                <w:rFonts w:hint="eastAsia" w:ascii="宋体" w:hAnsi="宋体" w:eastAsia="宋体" w:cs="宋体"/>
                <w:b/>
                <w:bCs/>
                <w:snapToGrid w:val="0"/>
                <w:color w:val="000000"/>
                <w:kern w:val="0"/>
                <w:sz w:val="20"/>
                <w:szCs w:val="20"/>
                <w:lang w:eastAsia="zh-Hans" w:bidi="ar"/>
              </w:rPr>
              <w:t>入</w:t>
            </w:r>
            <w:r>
              <w:rPr>
                <w:rFonts w:hint="eastAsia" w:ascii="宋体" w:hAnsi="宋体" w:eastAsia="宋体" w:cs="宋体"/>
                <w:b/>
                <w:bCs/>
                <w:snapToGrid w:val="0"/>
                <w:color w:val="000000"/>
                <w:kern w:val="0"/>
                <w:sz w:val="20"/>
                <w:szCs w:val="20"/>
                <w:lang w:bidi="ar"/>
              </w:rPr>
              <w:t>功率</w:t>
            </w:r>
          </w:p>
          <w:p>
            <w:pPr>
              <w:widowControl/>
              <w:jc w:val="center"/>
              <w:textAlignment w:val="center"/>
              <w:rPr>
                <w:rFonts w:ascii="宋体" w:hAnsi="宋体" w:eastAsia="宋体" w:cs="宋体"/>
                <w:b/>
                <w:bCs/>
                <w:snapToGrid w:val="0"/>
                <w:color w:val="000000"/>
                <w:kern w:val="0"/>
                <w:sz w:val="20"/>
                <w:szCs w:val="20"/>
                <w:lang w:eastAsia="zh-Hans" w:bidi="ar"/>
              </w:rPr>
            </w:pPr>
            <w:r>
              <w:rPr>
                <w:rFonts w:hint="eastAsia" w:ascii="宋体" w:hAnsi="宋体" w:eastAsia="宋体" w:cs="宋体"/>
                <w:b/>
                <w:bCs/>
                <w:snapToGrid w:val="0"/>
                <w:color w:val="000000"/>
                <w:kern w:val="0"/>
                <w:sz w:val="20"/>
                <w:szCs w:val="20"/>
                <w:lang w:bidi="ar"/>
              </w:rPr>
              <w:t>（千瓦）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dxa"/>
          </w:tcPr>
          <w:p>
            <w:pPr>
              <w:spacing w:line="560" w:lineRule="exact"/>
              <w:jc w:val="center"/>
              <w:rPr>
                <w:rFonts w:ascii="黑体" w:hAnsi="黑体" w:eastAsia="黑体" w:cs="Times New Roman"/>
                <w:bCs/>
                <w:snapToGrid w:val="0"/>
                <w:kern w:val="32"/>
                <w:sz w:val="28"/>
                <w:szCs w:val="32"/>
              </w:rPr>
            </w:pPr>
          </w:p>
        </w:tc>
        <w:tc>
          <w:tcPr>
            <w:tcW w:w="417" w:type="dxa"/>
          </w:tcPr>
          <w:p>
            <w:pPr>
              <w:spacing w:line="560" w:lineRule="exact"/>
              <w:jc w:val="center"/>
              <w:rPr>
                <w:rFonts w:ascii="黑体" w:hAnsi="黑体" w:eastAsia="黑体" w:cs="Times New Roman"/>
                <w:bCs/>
                <w:snapToGrid w:val="0"/>
                <w:kern w:val="32"/>
                <w:sz w:val="28"/>
                <w:szCs w:val="32"/>
              </w:rPr>
            </w:pPr>
          </w:p>
        </w:tc>
        <w:tc>
          <w:tcPr>
            <w:tcW w:w="819" w:type="dxa"/>
          </w:tcPr>
          <w:p>
            <w:pPr>
              <w:spacing w:line="560" w:lineRule="exact"/>
              <w:jc w:val="center"/>
              <w:rPr>
                <w:rFonts w:ascii="黑体" w:hAnsi="黑体" w:eastAsia="黑体" w:cs="Times New Roman"/>
                <w:bCs/>
                <w:snapToGrid w:val="0"/>
                <w:kern w:val="32"/>
                <w:sz w:val="28"/>
                <w:szCs w:val="32"/>
              </w:rPr>
            </w:pPr>
          </w:p>
        </w:tc>
        <w:tc>
          <w:tcPr>
            <w:tcW w:w="819" w:type="dxa"/>
          </w:tcPr>
          <w:p>
            <w:pPr>
              <w:spacing w:line="560" w:lineRule="exact"/>
              <w:jc w:val="center"/>
              <w:rPr>
                <w:rFonts w:ascii="黑体" w:hAnsi="黑体" w:eastAsia="黑体" w:cs="Times New Roman"/>
                <w:bCs/>
                <w:snapToGrid w:val="0"/>
                <w:kern w:val="32"/>
                <w:sz w:val="28"/>
                <w:szCs w:val="32"/>
              </w:rPr>
            </w:pPr>
          </w:p>
        </w:tc>
        <w:tc>
          <w:tcPr>
            <w:tcW w:w="618" w:type="dxa"/>
          </w:tcPr>
          <w:p>
            <w:pPr>
              <w:spacing w:line="560" w:lineRule="exact"/>
              <w:jc w:val="center"/>
              <w:rPr>
                <w:rFonts w:ascii="黑体" w:hAnsi="黑体" w:eastAsia="黑体" w:cs="Times New Roman"/>
                <w:bCs/>
                <w:snapToGrid w:val="0"/>
                <w:kern w:val="32"/>
                <w:sz w:val="28"/>
                <w:szCs w:val="32"/>
              </w:rPr>
            </w:pPr>
          </w:p>
        </w:tc>
        <w:tc>
          <w:tcPr>
            <w:tcW w:w="685" w:type="dxa"/>
          </w:tcPr>
          <w:p>
            <w:pPr>
              <w:spacing w:line="560" w:lineRule="exact"/>
              <w:jc w:val="center"/>
              <w:rPr>
                <w:rFonts w:ascii="黑体" w:hAnsi="黑体" w:eastAsia="黑体" w:cs="Times New Roman"/>
                <w:bCs/>
                <w:snapToGrid w:val="0"/>
                <w:kern w:val="32"/>
                <w:sz w:val="28"/>
                <w:szCs w:val="32"/>
              </w:rPr>
            </w:pPr>
          </w:p>
        </w:tc>
        <w:tc>
          <w:tcPr>
            <w:tcW w:w="738" w:type="dxa"/>
          </w:tcPr>
          <w:p>
            <w:pPr>
              <w:spacing w:line="560" w:lineRule="exact"/>
              <w:jc w:val="center"/>
              <w:rPr>
                <w:rFonts w:ascii="黑体" w:hAnsi="黑体" w:eastAsia="黑体" w:cs="Times New Roman"/>
                <w:bCs/>
                <w:snapToGrid w:val="0"/>
                <w:kern w:val="32"/>
                <w:sz w:val="28"/>
                <w:szCs w:val="32"/>
              </w:rPr>
            </w:pPr>
          </w:p>
        </w:tc>
        <w:tc>
          <w:tcPr>
            <w:tcW w:w="677" w:type="dxa"/>
          </w:tcPr>
          <w:p>
            <w:pPr>
              <w:spacing w:line="560" w:lineRule="exact"/>
              <w:jc w:val="center"/>
              <w:rPr>
                <w:rFonts w:ascii="黑体" w:hAnsi="黑体" w:eastAsia="黑体" w:cs="Times New Roman"/>
                <w:bCs/>
                <w:snapToGrid w:val="0"/>
                <w:kern w:val="32"/>
                <w:sz w:val="28"/>
                <w:szCs w:val="32"/>
              </w:rPr>
            </w:pPr>
          </w:p>
        </w:tc>
        <w:tc>
          <w:tcPr>
            <w:tcW w:w="703" w:type="dxa"/>
          </w:tcPr>
          <w:p>
            <w:pPr>
              <w:spacing w:line="560" w:lineRule="exact"/>
              <w:jc w:val="center"/>
              <w:rPr>
                <w:rFonts w:ascii="黑体" w:hAnsi="黑体" w:eastAsia="黑体" w:cs="Times New Roman"/>
                <w:bCs/>
                <w:snapToGrid w:val="0"/>
                <w:kern w:val="32"/>
                <w:sz w:val="28"/>
                <w:szCs w:val="32"/>
              </w:rPr>
            </w:pPr>
          </w:p>
        </w:tc>
        <w:tc>
          <w:tcPr>
            <w:tcW w:w="420" w:type="dxa"/>
          </w:tcPr>
          <w:p>
            <w:pPr>
              <w:spacing w:line="560" w:lineRule="exact"/>
              <w:jc w:val="center"/>
              <w:rPr>
                <w:rFonts w:ascii="黑体" w:hAnsi="黑体" w:eastAsia="黑体" w:cs="Times New Roman"/>
                <w:bCs/>
                <w:snapToGrid w:val="0"/>
                <w:kern w:val="32"/>
                <w:sz w:val="28"/>
                <w:szCs w:val="32"/>
              </w:rPr>
            </w:pPr>
          </w:p>
        </w:tc>
        <w:tc>
          <w:tcPr>
            <w:tcW w:w="780" w:type="dxa"/>
          </w:tcPr>
          <w:p>
            <w:pPr>
              <w:spacing w:line="560" w:lineRule="exact"/>
              <w:jc w:val="center"/>
              <w:rPr>
                <w:rFonts w:ascii="黑体" w:hAnsi="黑体" w:eastAsia="黑体" w:cs="Times New Roman"/>
                <w:bCs/>
                <w:snapToGrid w:val="0"/>
                <w:kern w:val="32"/>
                <w:sz w:val="28"/>
                <w:szCs w:val="32"/>
              </w:rPr>
            </w:pPr>
          </w:p>
        </w:tc>
        <w:tc>
          <w:tcPr>
            <w:tcW w:w="735" w:type="dxa"/>
          </w:tcPr>
          <w:p>
            <w:pPr>
              <w:spacing w:line="560" w:lineRule="exact"/>
              <w:jc w:val="center"/>
              <w:rPr>
                <w:rFonts w:ascii="黑体" w:hAnsi="黑体" w:eastAsia="黑体" w:cs="Times New Roman"/>
                <w:bCs/>
                <w:snapToGrid w:val="0"/>
                <w:kern w:val="32"/>
                <w:sz w:val="28"/>
                <w:szCs w:val="32"/>
              </w:rPr>
            </w:pPr>
          </w:p>
        </w:tc>
        <w:tc>
          <w:tcPr>
            <w:tcW w:w="691" w:type="dxa"/>
          </w:tcPr>
          <w:p>
            <w:pPr>
              <w:spacing w:line="560" w:lineRule="exact"/>
              <w:jc w:val="center"/>
              <w:rPr>
                <w:rFonts w:ascii="黑体" w:hAnsi="黑体" w:eastAsia="黑体" w:cs="Times New Roman"/>
                <w:bCs/>
                <w:snapToGrid w:val="0"/>
                <w:kern w:val="32"/>
                <w:sz w:val="28"/>
                <w:szCs w:val="32"/>
              </w:rPr>
            </w:pPr>
          </w:p>
        </w:tc>
      </w:tr>
    </w:tbl>
    <w:p>
      <w:pPr>
        <w:spacing w:line="560" w:lineRule="exact"/>
        <w:jc w:val="left"/>
        <w:rPr>
          <w:rFonts w:ascii="宋体" w:hAnsi="宋体" w:eastAsia="宋体" w:cs="宋体"/>
          <w:bCs/>
          <w:snapToGrid w:val="0"/>
          <w:kern w:val="32"/>
          <w:sz w:val="24"/>
          <w:szCs w:val="28"/>
        </w:rPr>
      </w:pPr>
      <w:r>
        <w:rPr>
          <w:rFonts w:hint="eastAsia" w:ascii="宋体" w:hAnsi="宋体" w:eastAsia="宋体" w:cs="宋体"/>
          <w:bCs/>
          <w:snapToGrid w:val="0"/>
          <w:kern w:val="32"/>
          <w:sz w:val="24"/>
          <w:szCs w:val="28"/>
        </w:rPr>
        <w:t>注：互联互通程度从以下选项选填：静态数据互通、动态数据互通、启停互通</w:t>
      </w:r>
    </w:p>
    <w:p>
      <w:pPr>
        <w:widowControl/>
        <w:spacing w:line="560" w:lineRule="exact"/>
        <w:ind w:firstLine="640" w:firstLineChars="200"/>
        <w:rPr>
          <w:rFonts w:ascii="黑体" w:hAnsi="黑体" w:eastAsia="黑体" w:cs="Times New Roman"/>
          <w:bCs/>
          <w:snapToGrid w:val="0"/>
          <w:kern w:val="32"/>
          <w:sz w:val="32"/>
          <w:szCs w:val="32"/>
        </w:rPr>
      </w:pPr>
      <w:r>
        <w:rPr>
          <w:rFonts w:hint="eastAsia" w:ascii="黑体" w:hAnsi="黑体" w:eastAsia="黑体" w:cs="Times New Roman"/>
          <w:bCs/>
          <w:snapToGrid w:val="0"/>
          <w:kern w:val="32"/>
          <w:sz w:val="32"/>
          <w:szCs w:val="32"/>
        </w:rPr>
        <w:t>四、申报项目运营情况</w:t>
      </w:r>
    </w:p>
    <w:p>
      <w:pPr>
        <w:widowControl/>
        <w:spacing w:line="560" w:lineRule="exact"/>
        <w:ind w:firstLine="640" w:firstLineChars="200"/>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包括运营模式、运维团队、管理制度（含运维管理、安全管理）、电价与服务价格、收费模式</w:t>
      </w:r>
      <w:r>
        <w:rPr>
          <w:rFonts w:hint="eastAsia" w:ascii="仿宋_GB2312" w:hAnsi="宋体" w:eastAsia="仿宋_GB2312" w:cs="宋体"/>
          <w:bCs/>
          <w:snapToGrid w:val="0"/>
          <w:color w:val="000000"/>
          <w:kern w:val="32"/>
          <w:sz w:val="32"/>
          <w:szCs w:val="32"/>
        </w:rPr>
        <w:t>、充电停车泊位管理、投保情况、</w:t>
      </w:r>
      <w:r>
        <w:rPr>
          <w:rFonts w:hint="eastAsia" w:ascii="仿宋_GB2312" w:hAnsi="宋体" w:eastAsia="仿宋_GB2312" w:cs="Times New Roman"/>
          <w:bCs/>
          <w:snapToGrid w:val="0"/>
          <w:kern w:val="32"/>
          <w:sz w:val="32"/>
          <w:szCs w:val="32"/>
        </w:rPr>
        <w:t>近6个月实际运营状况（含充电量、客户类型）等。如申报</w:t>
      </w:r>
      <w:r>
        <w:rPr>
          <w:rFonts w:hint="eastAsia" w:ascii="仿宋_GB2312" w:hAnsi="仿宋_GB2312" w:eastAsia="仿宋_GB2312" w:cs="仿宋_GB2312"/>
          <w:bCs/>
          <w:snapToGrid w:val="0"/>
          <w:kern w:val="32"/>
          <w:sz w:val="32"/>
          <w:szCs w:val="36"/>
        </w:rPr>
        <w:t>有序充电、V2G、光（储）充充电站，还需说明项目功能实现路径及效果，效果包括有序充电、V2G、光（储）充时间特点、有序充电量、V2G放电量、光伏发电量及用电情况等。</w:t>
      </w:r>
    </w:p>
    <w:p>
      <w:pPr>
        <w:spacing w:line="560" w:lineRule="exact"/>
        <w:jc w:val="center"/>
        <w:rPr>
          <w:rFonts w:ascii="黑体" w:hAnsi="黑体" w:eastAsia="黑体" w:cs="Times New Roman"/>
          <w:bCs/>
          <w:snapToGrid w:val="0"/>
          <w:kern w:val="32"/>
          <w:sz w:val="28"/>
          <w:szCs w:val="32"/>
        </w:rPr>
      </w:pPr>
      <w:r>
        <w:rPr>
          <w:rFonts w:hint="eastAsia" w:ascii="黑体" w:hAnsi="黑体" w:eastAsia="黑体" w:cs="Times New Roman"/>
          <w:bCs/>
          <w:snapToGrid w:val="0"/>
          <w:kern w:val="32"/>
          <w:sz w:val="28"/>
          <w:szCs w:val="32"/>
        </w:rPr>
        <w:t>表</w:t>
      </w:r>
      <w:r>
        <w:rPr>
          <w:rFonts w:ascii="黑体" w:hAnsi="黑体" w:eastAsia="黑体" w:cs="Times New Roman"/>
          <w:bCs/>
          <w:snapToGrid w:val="0"/>
          <w:kern w:val="32"/>
          <w:sz w:val="28"/>
          <w:szCs w:val="32"/>
        </w:rPr>
        <w:t>4</w:t>
      </w:r>
      <w:r>
        <w:rPr>
          <w:rFonts w:hint="eastAsia" w:ascii="黑体" w:hAnsi="黑体" w:eastAsia="黑体" w:cs="Times New Roman"/>
          <w:bCs/>
          <w:snapToGrid w:val="0"/>
          <w:kern w:val="32"/>
          <w:sz w:val="28"/>
          <w:szCs w:val="32"/>
        </w:rPr>
        <w:t xml:space="preserve"> 申报</w:t>
      </w:r>
      <w:r>
        <w:rPr>
          <w:rFonts w:hint="eastAsia" w:ascii="黑体" w:hAnsi="黑体" w:eastAsia="黑体" w:cs="Times New Roman"/>
          <w:bCs/>
          <w:snapToGrid w:val="0"/>
          <w:kern w:val="32"/>
          <w:sz w:val="28"/>
          <w:szCs w:val="32"/>
          <w:lang w:eastAsia="zh-Hans"/>
        </w:rPr>
        <w:t>项目</w:t>
      </w:r>
      <w:r>
        <w:rPr>
          <w:rFonts w:hint="eastAsia" w:ascii="黑体" w:hAnsi="黑体" w:eastAsia="黑体" w:cs="Times New Roman"/>
          <w:bCs/>
          <w:snapToGrid w:val="0"/>
          <w:kern w:val="32"/>
          <w:sz w:val="28"/>
          <w:szCs w:val="32"/>
        </w:rPr>
        <w:t>运营情况</w:t>
      </w:r>
    </w:p>
    <w:tbl>
      <w:tblPr>
        <w:tblStyle w:val="10"/>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926"/>
        <w:gridCol w:w="1011"/>
        <w:gridCol w:w="883"/>
        <w:gridCol w:w="1140"/>
        <w:gridCol w:w="1432"/>
        <w:gridCol w:w="1063"/>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8" w:type="dxa"/>
            <w:vAlign w:val="center"/>
          </w:tcPr>
          <w:p>
            <w:pPr>
              <w:widowControl/>
              <w:jc w:val="center"/>
              <w:textAlignment w:val="center"/>
              <w:rPr>
                <w:rFonts w:ascii="宋体" w:hAnsi="宋体" w:eastAsia="宋体" w:cs="宋体"/>
                <w:b/>
                <w:bCs/>
                <w:snapToGrid w:val="0"/>
                <w:color w:val="000000"/>
                <w:kern w:val="0"/>
                <w:sz w:val="22"/>
                <w:szCs w:val="22"/>
                <w:lang w:bidi="ar"/>
              </w:rPr>
            </w:pPr>
            <w:r>
              <w:rPr>
                <w:rFonts w:hint="eastAsia" w:ascii="宋体" w:hAnsi="宋体" w:eastAsia="宋体" w:cs="宋体"/>
                <w:b/>
                <w:bCs/>
                <w:snapToGrid w:val="0"/>
                <w:color w:val="000000"/>
                <w:kern w:val="0"/>
                <w:sz w:val="22"/>
                <w:szCs w:val="22"/>
                <w:lang w:bidi="ar"/>
              </w:rPr>
              <w:t>充换电站名称</w:t>
            </w:r>
          </w:p>
        </w:tc>
        <w:tc>
          <w:tcPr>
            <w:tcW w:w="926" w:type="dxa"/>
            <w:vAlign w:val="center"/>
          </w:tcPr>
          <w:p>
            <w:pPr>
              <w:widowControl/>
              <w:jc w:val="center"/>
              <w:textAlignment w:val="center"/>
              <w:rPr>
                <w:rFonts w:ascii="宋体" w:hAnsi="宋体" w:eastAsia="宋体" w:cs="宋体"/>
                <w:b/>
                <w:bCs/>
                <w:snapToGrid w:val="0"/>
                <w:color w:val="000000"/>
                <w:kern w:val="0"/>
                <w:sz w:val="22"/>
                <w:szCs w:val="22"/>
                <w:lang w:eastAsia="zh-Hans" w:bidi="ar"/>
              </w:rPr>
            </w:pPr>
            <w:r>
              <w:rPr>
                <w:rFonts w:hint="eastAsia" w:ascii="宋体" w:hAnsi="宋体" w:eastAsia="宋体" w:cs="宋体"/>
                <w:b/>
                <w:bCs/>
                <w:snapToGrid w:val="0"/>
                <w:color w:val="000000"/>
                <w:kern w:val="0"/>
                <w:sz w:val="22"/>
                <w:szCs w:val="22"/>
                <w:lang w:eastAsia="zh-Hans" w:bidi="ar"/>
              </w:rPr>
              <w:t>电费价格</w:t>
            </w:r>
            <w:r>
              <w:rPr>
                <w:rFonts w:ascii="宋体" w:hAnsi="宋体" w:eastAsia="宋体" w:cs="宋体"/>
                <w:b/>
                <w:bCs/>
                <w:snapToGrid w:val="0"/>
                <w:color w:val="000000"/>
                <w:kern w:val="0"/>
                <w:sz w:val="22"/>
                <w:szCs w:val="22"/>
                <w:lang w:eastAsia="zh-Hans" w:bidi="ar"/>
              </w:rPr>
              <w:t>（</w:t>
            </w:r>
            <w:r>
              <w:rPr>
                <w:rFonts w:hint="eastAsia" w:ascii="宋体" w:hAnsi="宋体" w:eastAsia="宋体" w:cs="宋体"/>
                <w:b/>
                <w:bCs/>
                <w:snapToGrid w:val="0"/>
                <w:color w:val="000000"/>
                <w:kern w:val="0"/>
                <w:sz w:val="22"/>
                <w:szCs w:val="22"/>
                <w:lang w:eastAsia="zh-Hans" w:bidi="ar"/>
              </w:rPr>
              <w:t>元</w:t>
            </w:r>
            <w:r>
              <w:rPr>
                <w:rFonts w:ascii="宋体" w:hAnsi="宋体" w:eastAsia="宋体" w:cs="宋体"/>
                <w:b/>
                <w:bCs/>
                <w:snapToGrid w:val="0"/>
                <w:color w:val="000000"/>
                <w:kern w:val="0"/>
                <w:sz w:val="22"/>
                <w:szCs w:val="22"/>
                <w:lang w:eastAsia="zh-Hans" w:bidi="ar"/>
              </w:rPr>
              <w:t>/</w:t>
            </w:r>
            <w:r>
              <w:rPr>
                <w:rFonts w:hint="eastAsia" w:ascii="宋体" w:hAnsi="宋体" w:eastAsia="宋体" w:cs="宋体"/>
                <w:b/>
                <w:bCs/>
                <w:snapToGrid w:val="0"/>
                <w:color w:val="000000"/>
                <w:kern w:val="0"/>
                <w:sz w:val="22"/>
                <w:szCs w:val="22"/>
                <w:lang w:eastAsia="zh-Hans" w:bidi="ar"/>
              </w:rPr>
              <w:t>度</w:t>
            </w:r>
            <w:r>
              <w:rPr>
                <w:rFonts w:ascii="宋体" w:hAnsi="宋体" w:eastAsia="宋体" w:cs="宋体"/>
                <w:b/>
                <w:bCs/>
                <w:snapToGrid w:val="0"/>
                <w:color w:val="000000"/>
                <w:kern w:val="0"/>
                <w:sz w:val="22"/>
                <w:szCs w:val="22"/>
                <w:lang w:eastAsia="zh-Hans" w:bidi="ar"/>
              </w:rPr>
              <w:t>）</w:t>
            </w:r>
          </w:p>
        </w:tc>
        <w:tc>
          <w:tcPr>
            <w:tcW w:w="1011" w:type="dxa"/>
            <w:vAlign w:val="center"/>
          </w:tcPr>
          <w:p>
            <w:pPr>
              <w:widowControl/>
              <w:jc w:val="center"/>
              <w:textAlignment w:val="center"/>
              <w:rPr>
                <w:rFonts w:ascii="宋体" w:hAnsi="宋体" w:eastAsia="宋体" w:cs="宋体"/>
                <w:b/>
                <w:bCs/>
                <w:snapToGrid w:val="0"/>
                <w:color w:val="000000"/>
                <w:kern w:val="0"/>
                <w:sz w:val="22"/>
                <w:szCs w:val="22"/>
                <w:lang w:eastAsia="zh-Hans" w:bidi="ar"/>
              </w:rPr>
            </w:pPr>
            <w:r>
              <w:rPr>
                <w:rFonts w:hint="eastAsia" w:ascii="宋体" w:hAnsi="宋体" w:eastAsia="宋体" w:cs="宋体"/>
                <w:b/>
                <w:bCs/>
                <w:snapToGrid w:val="0"/>
                <w:color w:val="000000"/>
                <w:kern w:val="0"/>
                <w:sz w:val="22"/>
                <w:szCs w:val="22"/>
                <w:lang w:eastAsia="zh-Hans" w:bidi="ar"/>
              </w:rPr>
              <w:t>服务费价格</w:t>
            </w:r>
            <w:r>
              <w:rPr>
                <w:rFonts w:ascii="宋体" w:hAnsi="宋体" w:eastAsia="宋体" w:cs="宋体"/>
                <w:b/>
                <w:bCs/>
                <w:snapToGrid w:val="0"/>
                <w:color w:val="000000"/>
                <w:kern w:val="0"/>
                <w:sz w:val="22"/>
                <w:szCs w:val="22"/>
                <w:lang w:eastAsia="zh-Hans" w:bidi="ar"/>
              </w:rPr>
              <w:t>（</w:t>
            </w:r>
            <w:r>
              <w:rPr>
                <w:rFonts w:hint="eastAsia" w:ascii="宋体" w:hAnsi="宋体" w:eastAsia="宋体" w:cs="宋体"/>
                <w:b/>
                <w:bCs/>
                <w:snapToGrid w:val="0"/>
                <w:color w:val="000000"/>
                <w:kern w:val="0"/>
                <w:sz w:val="22"/>
                <w:szCs w:val="22"/>
                <w:lang w:eastAsia="zh-Hans" w:bidi="ar"/>
              </w:rPr>
              <w:t>元</w:t>
            </w:r>
            <w:r>
              <w:rPr>
                <w:rFonts w:ascii="宋体" w:hAnsi="宋体" w:eastAsia="宋体" w:cs="宋体"/>
                <w:b/>
                <w:bCs/>
                <w:snapToGrid w:val="0"/>
                <w:color w:val="000000"/>
                <w:kern w:val="0"/>
                <w:sz w:val="22"/>
                <w:szCs w:val="22"/>
                <w:lang w:eastAsia="zh-Hans" w:bidi="ar"/>
              </w:rPr>
              <w:t>/</w:t>
            </w:r>
            <w:r>
              <w:rPr>
                <w:rFonts w:hint="eastAsia" w:ascii="宋体" w:hAnsi="宋体" w:eastAsia="宋体" w:cs="宋体"/>
                <w:b/>
                <w:bCs/>
                <w:snapToGrid w:val="0"/>
                <w:color w:val="000000"/>
                <w:kern w:val="0"/>
                <w:sz w:val="22"/>
                <w:szCs w:val="22"/>
                <w:lang w:eastAsia="zh-Hans" w:bidi="ar"/>
              </w:rPr>
              <w:t>度</w:t>
            </w:r>
            <w:r>
              <w:rPr>
                <w:rFonts w:ascii="宋体" w:hAnsi="宋体" w:eastAsia="宋体" w:cs="宋体"/>
                <w:b/>
                <w:bCs/>
                <w:snapToGrid w:val="0"/>
                <w:color w:val="000000"/>
                <w:kern w:val="0"/>
                <w:sz w:val="22"/>
                <w:szCs w:val="22"/>
                <w:lang w:eastAsia="zh-Hans" w:bidi="ar"/>
              </w:rPr>
              <w:t>）</w:t>
            </w:r>
          </w:p>
        </w:tc>
        <w:tc>
          <w:tcPr>
            <w:tcW w:w="883" w:type="dxa"/>
            <w:vAlign w:val="center"/>
          </w:tcPr>
          <w:p>
            <w:pPr>
              <w:widowControl/>
              <w:jc w:val="center"/>
              <w:textAlignment w:val="center"/>
              <w:rPr>
                <w:rFonts w:ascii="宋体" w:hAnsi="宋体" w:eastAsia="宋体" w:cs="宋体"/>
                <w:b/>
                <w:bCs/>
                <w:snapToGrid w:val="0"/>
                <w:color w:val="000000"/>
                <w:kern w:val="0"/>
                <w:sz w:val="22"/>
                <w:szCs w:val="22"/>
                <w:lang w:eastAsia="zh-Hans" w:bidi="ar"/>
              </w:rPr>
            </w:pPr>
            <w:r>
              <w:rPr>
                <w:rFonts w:hint="eastAsia" w:ascii="宋体" w:hAnsi="宋体" w:eastAsia="宋体" w:cs="宋体"/>
                <w:b/>
                <w:bCs/>
                <w:snapToGrid w:val="0"/>
                <w:color w:val="000000"/>
                <w:kern w:val="0"/>
                <w:sz w:val="22"/>
                <w:szCs w:val="22"/>
                <w:lang w:eastAsia="zh-Hans" w:bidi="ar"/>
              </w:rPr>
              <w:t>保险类型</w:t>
            </w:r>
          </w:p>
        </w:tc>
        <w:tc>
          <w:tcPr>
            <w:tcW w:w="1140" w:type="dxa"/>
            <w:vAlign w:val="center"/>
          </w:tcPr>
          <w:p>
            <w:pPr>
              <w:widowControl/>
              <w:jc w:val="center"/>
              <w:textAlignment w:val="center"/>
              <w:rPr>
                <w:rFonts w:ascii="宋体" w:hAnsi="宋体" w:eastAsia="宋体" w:cs="宋体"/>
                <w:b/>
                <w:bCs/>
                <w:snapToGrid w:val="0"/>
                <w:color w:val="000000"/>
                <w:kern w:val="0"/>
                <w:sz w:val="22"/>
                <w:szCs w:val="22"/>
                <w:lang w:eastAsia="zh-Hans" w:bidi="ar"/>
              </w:rPr>
            </w:pPr>
            <w:r>
              <w:rPr>
                <w:rFonts w:hint="eastAsia" w:ascii="宋体" w:hAnsi="宋体" w:eastAsia="宋体" w:cs="宋体"/>
                <w:b/>
                <w:bCs/>
                <w:snapToGrid w:val="0"/>
                <w:color w:val="000000"/>
                <w:kern w:val="0"/>
                <w:sz w:val="22"/>
                <w:szCs w:val="22"/>
                <w:lang w:eastAsia="zh-Hans" w:bidi="ar"/>
              </w:rPr>
              <w:t>保险费用</w:t>
            </w:r>
            <w:r>
              <w:rPr>
                <w:rFonts w:ascii="宋体" w:hAnsi="宋体" w:eastAsia="宋体" w:cs="宋体"/>
                <w:b/>
                <w:bCs/>
                <w:snapToGrid w:val="0"/>
                <w:color w:val="000000"/>
                <w:kern w:val="0"/>
                <w:sz w:val="22"/>
                <w:szCs w:val="22"/>
                <w:lang w:eastAsia="zh-Hans" w:bidi="ar"/>
              </w:rPr>
              <w:t>（</w:t>
            </w:r>
            <w:r>
              <w:rPr>
                <w:rFonts w:hint="eastAsia" w:ascii="宋体" w:hAnsi="宋体" w:eastAsia="宋体" w:cs="宋体"/>
                <w:b/>
                <w:bCs/>
                <w:snapToGrid w:val="0"/>
                <w:color w:val="000000"/>
                <w:kern w:val="0"/>
                <w:sz w:val="22"/>
                <w:szCs w:val="22"/>
                <w:lang w:eastAsia="zh-Hans" w:bidi="ar"/>
              </w:rPr>
              <w:t>元</w:t>
            </w:r>
            <w:r>
              <w:rPr>
                <w:rFonts w:ascii="宋体" w:hAnsi="宋体" w:eastAsia="宋体" w:cs="宋体"/>
                <w:b/>
                <w:bCs/>
                <w:snapToGrid w:val="0"/>
                <w:color w:val="000000"/>
                <w:kern w:val="0"/>
                <w:sz w:val="22"/>
                <w:szCs w:val="22"/>
                <w:lang w:eastAsia="zh-Hans" w:bidi="ar"/>
              </w:rPr>
              <w:t>/</w:t>
            </w:r>
            <w:r>
              <w:rPr>
                <w:rFonts w:hint="eastAsia" w:ascii="宋体" w:hAnsi="宋体" w:eastAsia="宋体" w:cs="宋体"/>
                <w:b/>
                <w:bCs/>
                <w:snapToGrid w:val="0"/>
                <w:color w:val="000000"/>
                <w:kern w:val="0"/>
                <w:sz w:val="22"/>
                <w:szCs w:val="22"/>
                <w:lang w:eastAsia="zh-Hans" w:bidi="ar"/>
              </w:rPr>
              <w:t>年</w:t>
            </w:r>
            <w:r>
              <w:rPr>
                <w:rFonts w:ascii="宋体" w:hAnsi="宋体" w:eastAsia="宋体" w:cs="宋体"/>
                <w:b/>
                <w:bCs/>
                <w:snapToGrid w:val="0"/>
                <w:color w:val="000000"/>
                <w:kern w:val="0"/>
                <w:sz w:val="22"/>
                <w:szCs w:val="22"/>
                <w:lang w:eastAsia="zh-Hans" w:bidi="ar"/>
              </w:rPr>
              <w:t>）</w:t>
            </w:r>
          </w:p>
        </w:tc>
        <w:tc>
          <w:tcPr>
            <w:tcW w:w="1432" w:type="dxa"/>
            <w:vAlign w:val="center"/>
          </w:tcPr>
          <w:p>
            <w:pPr>
              <w:widowControl/>
              <w:jc w:val="center"/>
              <w:textAlignment w:val="center"/>
              <w:rPr>
                <w:rFonts w:ascii="宋体" w:hAnsi="宋体" w:eastAsia="宋体" w:cs="宋体"/>
                <w:b/>
                <w:bCs/>
                <w:snapToGrid w:val="0"/>
                <w:color w:val="000000"/>
                <w:kern w:val="0"/>
                <w:sz w:val="22"/>
                <w:szCs w:val="22"/>
                <w:lang w:eastAsia="zh-Hans" w:bidi="ar"/>
              </w:rPr>
            </w:pPr>
            <w:r>
              <w:rPr>
                <w:rFonts w:hint="eastAsia" w:ascii="宋体" w:hAnsi="宋体" w:eastAsia="宋体" w:cs="宋体"/>
                <w:b/>
                <w:bCs/>
                <w:snapToGrid w:val="0"/>
                <w:color w:val="000000"/>
                <w:kern w:val="0"/>
                <w:sz w:val="22"/>
                <w:szCs w:val="22"/>
                <w:lang w:eastAsia="zh-Hans" w:bidi="ar"/>
              </w:rPr>
              <w:t>近</w:t>
            </w:r>
            <w:r>
              <w:rPr>
                <w:rFonts w:ascii="宋体" w:hAnsi="宋体" w:eastAsia="宋体" w:cs="宋体"/>
                <w:b/>
                <w:bCs/>
                <w:snapToGrid w:val="0"/>
                <w:color w:val="000000"/>
                <w:kern w:val="0"/>
                <w:sz w:val="22"/>
                <w:szCs w:val="22"/>
                <w:lang w:eastAsia="zh-Hans" w:bidi="ar"/>
              </w:rPr>
              <w:t>6</w:t>
            </w:r>
            <w:r>
              <w:rPr>
                <w:rFonts w:hint="eastAsia" w:ascii="宋体" w:hAnsi="宋体" w:eastAsia="宋体" w:cs="宋体"/>
                <w:b/>
                <w:bCs/>
                <w:snapToGrid w:val="0"/>
                <w:color w:val="000000"/>
                <w:kern w:val="0"/>
                <w:sz w:val="22"/>
                <w:szCs w:val="22"/>
                <w:lang w:eastAsia="zh-Hans" w:bidi="ar"/>
              </w:rPr>
              <w:t>个月充电量</w:t>
            </w:r>
            <w:r>
              <w:rPr>
                <w:rFonts w:ascii="宋体" w:hAnsi="宋体" w:eastAsia="宋体" w:cs="宋体"/>
                <w:b/>
                <w:bCs/>
                <w:snapToGrid w:val="0"/>
                <w:color w:val="000000"/>
                <w:kern w:val="0"/>
                <w:sz w:val="22"/>
                <w:szCs w:val="22"/>
                <w:lang w:eastAsia="zh-Hans" w:bidi="ar"/>
              </w:rPr>
              <w:t>（</w:t>
            </w:r>
            <w:r>
              <w:rPr>
                <w:rFonts w:hint="eastAsia" w:ascii="宋体" w:hAnsi="宋体" w:eastAsia="宋体" w:cs="宋体"/>
                <w:b/>
                <w:bCs/>
                <w:snapToGrid w:val="0"/>
                <w:color w:val="000000"/>
                <w:kern w:val="0"/>
                <w:sz w:val="22"/>
                <w:szCs w:val="22"/>
                <w:lang w:eastAsia="zh-Hans" w:bidi="ar"/>
              </w:rPr>
              <w:t>万度</w:t>
            </w:r>
            <w:r>
              <w:rPr>
                <w:rFonts w:ascii="宋体" w:hAnsi="宋体" w:eastAsia="宋体" w:cs="宋体"/>
                <w:b/>
                <w:bCs/>
                <w:snapToGrid w:val="0"/>
                <w:color w:val="000000"/>
                <w:kern w:val="0"/>
                <w:sz w:val="22"/>
                <w:szCs w:val="22"/>
                <w:lang w:eastAsia="zh-Hans" w:bidi="ar"/>
              </w:rPr>
              <w:t>）</w:t>
            </w:r>
          </w:p>
        </w:tc>
        <w:tc>
          <w:tcPr>
            <w:tcW w:w="1063" w:type="dxa"/>
            <w:vAlign w:val="center"/>
          </w:tcPr>
          <w:p>
            <w:pPr>
              <w:widowControl/>
              <w:jc w:val="center"/>
              <w:textAlignment w:val="center"/>
              <w:rPr>
                <w:rFonts w:ascii="宋体" w:hAnsi="宋体" w:eastAsia="宋体" w:cs="宋体"/>
                <w:b/>
                <w:bCs/>
                <w:snapToGrid w:val="0"/>
                <w:color w:val="000000"/>
                <w:kern w:val="0"/>
                <w:sz w:val="22"/>
                <w:szCs w:val="22"/>
                <w:lang w:eastAsia="zh-Hans" w:bidi="ar"/>
              </w:rPr>
            </w:pPr>
            <w:r>
              <w:rPr>
                <w:rFonts w:hint="eastAsia" w:ascii="宋体" w:hAnsi="宋体" w:eastAsia="宋体" w:cs="宋体"/>
                <w:b/>
                <w:bCs/>
                <w:snapToGrid w:val="0"/>
                <w:color w:val="000000"/>
                <w:kern w:val="0"/>
                <w:sz w:val="22"/>
                <w:szCs w:val="22"/>
                <w:lang w:eastAsia="zh-Hans" w:bidi="ar"/>
              </w:rPr>
              <w:t>主要客户类型</w:t>
            </w:r>
          </w:p>
        </w:tc>
        <w:tc>
          <w:tcPr>
            <w:tcW w:w="1186" w:type="dxa"/>
            <w:vAlign w:val="center"/>
          </w:tcPr>
          <w:p>
            <w:pPr>
              <w:widowControl/>
              <w:jc w:val="center"/>
              <w:textAlignment w:val="center"/>
              <w:rPr>
                <w:rFonts w:ascii="宋体" w:hAnsi="宋体" w:eastAsia="宋体" w:cs="宋体"/>
                <w:b/>
                <w:bCs/>
                <w:snapToGrid w:val="0"/>
                <w:color w:val="000000"/>
                <w:kern w:val="0"/>
                <w:sz w:val="22"/>
                <w:szCs w:val="22"/>
                <w:lang w:eastAsia="zh-Hans" w:bidi="ar"/>
              </w:rPr>
            </w:pPr>
            <w:r>
              <w:rPr>
                <w:rFonts w:hint="eastAsia" w:ascii="宋体" w:hAnsi="宋体" w:eastAsia="宋体" w:cs="宋体"/>
                <w:b/>
                <w:bCs/>
                <w:snapToGrid w:val="0"/>
                <w:color w:val="000000"/>
                <w:kern w:val="0"/>
                <w:sz w:val="22"/>
                <w:szCs w:val="22"/>
                <w:lang w:eastAsia="zh-Hans" w:bidi="ar"/>
              </w:rPr>
              <w:t>电动汽车（专用）泊位管理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78" w:type="dxa"/>
          </w:tcPr>
          <w:p>
            <w:pPr>
              <w:spacing w:line="560" w:lineRule="exact"/>
              <w:rPr>
                <w:rFonts w:ascii="黑体" w:hAnsi="黑体" w:eastAsia="黑体" w:cs="Times New Roman"/>
                <w:bCs/>
                <w:snapToGrid w:val="0"/>
                <w:kern w:val="32"/>
                <w:sz w:val="28"/>
                <w:szCs w:val="32"/>
              </w:rPr>
            </w:pPr>
          </w:p>
        </w:tc>
        <w:tc>
          <w:tcPr>
            <w:tcW w:w="926" w:type="dxa"/>
          </w:tcPr>
          <w:p>
            <w:pPr>
              <w:spacing w:line="560" w:lineRule="exact"/>
              <w:rPr>
                <w:rFonts w:ascii="黑体" w:hAnsi="黑体" w:eastAsia="黑体" w:cs="Times New Roman"/>
                <w:bCs/>
                <w:snapToGrid w:val="0"/>
                <w:kern w:val="32"/>
                <w:sz w:val="28"/>
                <w:szCs w:val="32"/>
              </w:rPr>
            </w:pPr>
          </w:p>
        </w:tc>
        <w:tc>
          <w:tcPr>
            <w:tcW w:w="1011" w:type="dxa"/>
          </w:tcPr>
          <w:p>
            <w:pPr>
              <w:spacing w:line="560" w:lineRule="exact"/>
              <w:rPr>
                <w:rFonts w:ascii="黑体" w:hAnsi="黑体" w:eastAsia="黑体" w:cs="Times New Roman"/>
                <w:bCs/>
                <w:snapToGrid w:val="0"/>
                <w:kern w:val="32"/>
                <w:sz w:val="28"/>
                <w:szCs w:val="32"/>
              </w:rPr>
            </w:pPr>
          </w:p>
        </w:tc>
        <w:tc>
          <w:tcPr>
            <w:tcW w:w="883" w:type="dxa"/>
          </w:tcPr>
          <w:p>
            <w:pPr>
              <w:spacing w:line="560" w:lineRule="exact"/>
              <w:rPr>
                <w:rFonts w:ascii="黑体" w:hAnsi="黑体" w:eastAsia="黑体" w:cs="Times New Roman"/>
                <w:bCs/>
                <w:snapToGrid w:val="0"/>
                <w:kern w:val="32"/>
                <w:sz w:val="28"/>
                <w:szCs w:val="32"/>
              </w:rPr>
            </w:pPr>
          </w:p>
        </w:tc>
        <w:tc>
          <w:tcPr>
            <w:tcW w:w="1140" w:type="dxa"/>
          </w:tcPr>
          <w:p>
            <w:pPr>
              <w:spacing w:line="560" w:lineRule="exact"/>
              <w:rPr>
                <w:rFonts w:ascii="黑体" w:hAnsi="黑体" w:eastAsia="黑体" w:cs="Times New Roman"/>
                <w:bCs/>
                <w:snapToGrid w:val="0"/>
                <w:kern w:val="32"/>
                <w:sz w:val="28"/>
                <w:szCs w:val="32"/>
              </w:rPr>
            </w:pPr>
          </w:p>
        </w:tc>
        <w:tc>
          <w:tcPr>
            <w:tcW w:w="1432" w:type="dxa"/>
          </w:tcPr>
          <w:p>
            <w:pPr>
              <w:spacing w:line="560" w:lineRule="exact"/>
              <w:rPr>
                <w:rFonts w:ascii="黑体" w:hAnsi="黑体" w:eastAsia="黑体" w:cs="Times New Roman"/>
                <w:bCs/>
                <w:snapToGrid w:val="0"/>
                <w:kern w:val="32"/>
                <w:sz w:val="28"/>
                <w:szCs w:val="32"/>
              </w:rPr>
            </w:pPr>
          </w:p>
        </w:tc>
        <w:tc>
          <w:tcPr>
            <w:tcW w:w="1063" w:type="dxa"/>
          </w:tcPr>
          <w:p>
            <w:pPr>
              <w:spacing w:line="560" w:lineRule="exact"/>
              <w:rPr>
                <w:rFonts w:ascii="黑体" w:hAnsi="黑体" w:eastAsia="黑体" w:cs="Times New Roman"/>
                <w:bCs/>
                <w:snapToGrid w:val="0"/>
                <w:kern w:val="32"/>
                <w:sz w:val="28"/>
                <w:szCs w:val="32"/>
              </w:rPr>
            </w:pPr>
          </w:p>
        </w:tc>
        <w:tc>
          <w:tcPr>
            <w:tcW w:w="1186" w:type="dxa"/>
          </w:tcPr>
          <w:p>
            <w:pPr>
              <w:spacing w:line="560" w:lineRule="exact"/>
              <w:rPr>
                <w:rFonts w:ascii="黑体" w:hAnsi="黑体" w:eastAsia="黑体" w:cs="Times New Roman"/>
                <w:bCs/>
                <w:snapToGrid w:val="0"/>
                <w:kern w:val="32"/>
                <w:sz w:val="28"/>
                <w:szCs w:val="32"/>
              </w:rPr>
            </w:pPr>
          </w:p>
        </w:tc>
      </w:tr>
    </w:tbl>
    <w:p>
      <w:pPr>
        <w:widowControl/>
        <w:spacing w:line="280" w:lineRule="exact"/>
        <w:rPr>
          <w:rFonts w:ascii="宋体" w:hAnsi="宋体" w:eastAsia="宋体" w:cs="宋体"/>
          <w:bCs/>
          <w:snapToGrid w:val="0"/>
          <w:kern w:val="32"/>
          <w:sz w:val="24"/>
          <w:szCs w:val="28"/>
        </w:rPr>
      </w:pPr>
      <w:r>
        <w:rPr>
          <w:rFonts w:hint="eastAsia" w:ascii="宋体" w:hAnsi="宋体" w:eastAsia="宋体" w:cs="宋体"/>
          <w:bCs/>
          <w:snapToGrid w:val="0"/>
          <w:kern w:val="32"/>
          <w:sz w:val="24"/>
          <w:szCs w:val="28"/>
        </w:rPr>
        <w:t>注：1.</w:t>
      </w:r>
      <w:r>
        <w:rPr>
          <w:rFonts w:hint="eastAsia" w:ascii="宋体" w:hAnsi="宋体" w:eastAsia="宋体" w:cs="宋体"/>
          <w:bCs/>
          <w:snapToGrid w:val="0"/>
          <w:kern w:val="32"/>
          <w:sz w:val="24"/>
          <w:szCs w:val="28"/>
          <w:lang w:eastAsia="zh-Hans"/>
        </w:rPr>
        <w:t>电动汽车</w:t>
      </w:r>
      <w:r>
        <w:rPr>
          <w:rFonts w:ascii="宋体" w:hAnsi="宋体" w:eastAsia="宋体" w:cs="宋体"/>
          <w:bCs/>
          <w:snapToGrid w:val="0"/>
          <w:kern w:val="32"/>
          <w:sz w:val="24"/>
          <w:szCs w:val="28"/>
          <w:lang w:eastAsia="zh-Hans"/>
        </w:rPr>
        <w:t>（</w:t>
      </w:r>
      <w:r>
        <w:rPr>
          <w:rFonts w:hint="eastAsia" w:ascii="宋体" w:hAnsi="宋体" w:eastAsia="宋体" w:cs="宋体"/>
          <w:bCs/>
          <w:snapToGrid w:val="0"/>
          <w:kern w:val="32"/>
          <w:sz w:val="24"/>
          <w:szCs w:val="28"/>
          <w:lang w:eastAsia="zh-Hans"/>
        </w:rPr>
        <w:t>专用</w:t>
      </w:r>
      <w:r>
        <w:rPr>
          <w:rFonts w:ascii="宋体" w:hAnsi="宋体" w:eastAsia="宋体" w:cs="宋体"/>
          <w:bCs/>
          <w:snapToGrid w:val="0"/>
          <w:kern w:val="32"/>
          <w:sz w:val="24"/>
          <w:szCs w:val="28"/>
          <w:lang w:eastAsia="zh-Hans"/>
        </w:rPr>
        <w:t>）</w:t>
      </w:r>
      <w:r>
        <w:rPr>
          <w:rFonts w:hint="eastAsia" w:ascii="宋体" w:hAnsi="宋体" w:eastAsia="宋体" w:cs="宋体"/>
          <w:bCs/>
          <w:snapToGrid w:val="0"/>
          <w:kern w:val="32"/>
          <w:sz w:val="24"/>
          <w:szCs w:val="28"/>
          <w:lang w:eastAsia="zh-Hans"/>
        </w:rPr>
        <w:t>泊位管理</w:t>
      </w:r>
      <w:r>
        <w:rPr>
          <w:rFonts w:hint="eastAsia" w:ascii="宋体" w:hAnsi="宋体" w:eastAsia="宋体" w:cs="宋体"/>
          <w:bCs/>
          <w:snapToGrid w:val="0"/>
          <w:kern w:val="32"/>
          <w:sz w:val="24"/>
          <w:szCs w:val="28"/>
        </w:rPr>
        <w:t>从以下选项选填：“租赁车位、施划电动汽车专用泊位、施划电动汽车泊位、差异化停车费用、其他</w:t>
      </w:r>
      <w:r>
        <w:rPr>
          <w:rFonts w:ascii="宋体" w:hAnsi="宋体" w:eastAsia="宋体" w:cs="宋体"/>
          <w:bCs/>
          <w:snapToGrid w:val="0"/>
          <w:kern w:val="32"/>
          <w:sz w:val="24"/>
          <w:szCs w:val="28"/>
        </w:rPr>
        <w:t>、</w:t>
      </w:r>
      <w:r>
        <w:rPr>
          <w:rFonts w:hint="eastAsia" w:ascii="宋体" w:hAnsi="宋体" w:eastAsia="宋体" w:cs="宋体"/>
          <w:bCs/>
          <w:snapToGrid w:val="0"/>
          <w:kern w:val="32"/>
          <w:sz w:val="24"/>
          <w:szCs w:val="28"/>
          <w:lang w:eastAsia="zh-Hans"/>
        </w:rPr>
        <w:t>无</w:t>
      </w:r>
      <w:r>
        <w:rPr>
          <w:rFonts w:hint="eastAsia" w:ascii="宋体" w:hAnsi="宋体" w:eastAsia="宋体" w:cs="宋体"/>
          <w:bCs/>
          <w:snapToGrid w:val="0"/>
          <w:kern w:val="32"/>
          <w:sz w:val="24"/>
          <w:szCs w:val="28"/>
        </w:rPr>
        <w:t>”。</w:t>
      </w:r>
    </w:p>
    <w:p>
      <w:pPr>
        <w:widowControl/>
        <w:spacing w:line="280" w:lineRule="exact"/>
        <w:ind w:firstLine="480" w:firstLineChars="200"/>
        <w:rPr>
          <w:rFonts w:ascii="宋体" w:hAnsi="宋体" w:eastAsia="宋体" w:cs="宋体"/>
          <w:bCs/>
          <w:snapToGrid w:val="0"/>
          <w:kern w:val="32"/>
          <w:sz w:val="24"/>
          <w:szCs w:val="28"/>
        </w:rPr>
      </w:pPr>
      <w:r>
        <w:rPr>
          <w:rFonts w:hint="eastAsia" w:ascii="宋体" w:hAnsi="宋体" w:eastAsia="宋体" w:cs="宋体"/>
          <w:bCs/>
          <w:snapToGrid w:val="0"/>
          <w:kern w:val="32"/>
          <w:sz w:val="24"/>
          <w:szCs w:val="28"/>
        </w:rPr>
        <w:t>2.运营不足6个月的，只填写运营期的状况，并说明具体周期。</w:t>
      </w:r>
    </w:p>
    <w:p>
      <w:pPr>
        <w:widowControl/>
        <w:spacing w:line="560" w:lineRule="exact"/>
        <w:ind w:firstLine="640" w:firstLineChars="200"/>
        <w:rPr>
          <w:rFonts w:ascii="黑体" w:hAnsi="黑体" w:eastAsia="黑体" w:cs="Times New Roman"/>
          <w:bCs/>
          <w:snapToGrid w:val="0"/>
          <w:kern w:val="32"/>
          <w:sz w:val="32"/>
          <w:szCs w:val="32"/>
        </w:rPr>
      </w:pPr>
      <w:r>
        <w:rPr>
          <w:rFonts w:hint="eastAsia" w:ascii="黑体" w:hAnsi="黑体" w:eastAsia="黑体" w:cs="Times New Roman"/>
          <w:bCs/>
          <w:snapToGrid w:val="0"/>
          <w:kern w:val="32"/>
          <w:sz w:val="32"/>
          <w:szCs w:val="32"/>
        </w:rPr>
        <w:t>五、其他需要说明的内容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包括但不限于以下内容：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lang w:eastAsia="zh-CN"/>
        </w:rPr>
        <w:t>（</w:t>
      </w:r>
      <w:r>
        <w:rPr>
          <w:rFonts w:hint="eastAsia" w:ascii="楷体_GB2312" w:hAnsi="楷体_GB2312" w:eastAsia="楷体_GB2312" w:cs="楷体_GB2312"/>
          <w:bCs/>
          <w:snapToGrid w:val="0"/>
          <w:kern w:val="32"/>
          <w:sz w:val="32"/>
          <w:szCs w:val="32"/>
          <w:lang w:val="en-US" w:eastAsia="zh-CN"/>
        </w:rPr>
        <w:t>一</w:t>
      </w:r>
      <w:r>
        <w:rPr>
          <w:rFonts w:hint="eastAsia" w:ascii="楷体_GB2312" w:hAnsi="楷体_GB2312" w:eastAsia="楷体_GB2312" w:cs="楷体_GB2312"/>
          <w:bCs/>
          <w:snapToGrid w:val="0"/>
          <w:kern w:val="32"/>
          <w:sz w:val="32"/>
          <w:szCs w:val="32"/>
          <w:lang w:eastAsia="zh-CN"/>
        </w:rPr>
        <w:t>）</w:t>
      </w:r>
      <w:r>
        <w:rPr>
          <w:rFonts w:hint="eastAsia" w:ascii="楷体_GB2312" w:hAnsi="楷体_GB2312" w:eastAsia="楷体_GB2312" w:cs="楷体_GB2312"/>
          <w:bCs/>
          <w:snapToGrid w:val="0"/>
          <w:kern w:val="32"/>
          <w:sz w:val="32"/>
          <w:szCs w:val="32"/>
          <w:lang w:eastAsia="zh-Hans"/>
        </w:rPr>
        <w:t>配套设施建设</w:t>
      </w:r>
      <w:r>
        <w:rPr>
          <w:rFonts w:hint="eastAsia" w:ascii="楷体_GB2312" w:hAnsi="楷体_GB2312" w:eastAsia="楷体_GB2312" w:cs="楷体_GB2312"/>
          <w:bCs/>
          <w:snapToGrid w:val="0"/>
          <w:kern w:val="32"/>
          <w:sz w:val="32"/>
          <w:szCs w:val="32"/>
          <w:lang w:val="en-US" w:eastAsia="zh-CN"/>
        </w:rPr>
        <w:t>情况</w:t>
      </w:r>
      <w:r>
        <w:rPr>
          <w:rFonts w:hint="eastAsia" w:ascii="仿宋_GB2312" w:hAnsi="宋体" w:eastAsia="仿宋_GB2312" w:cs="Times New Roman"/>
          <w:bCs/>
          <w:snapToGrid w:val="0"/>
          <w:kern w:val="32"/>
          <w:sz w:val="32"/>
          <w:szCs w:val="32"/>
          <w:lang w:val="en-US" w:eastAsia="zh-CN"/>
        </w:rPr>
        <w:t>，</w:t>
      </w:r>
      <w:r>
        <w:rPr>
          <w:rFonts w:hint="eastAsia" w:ascii="仿宋_GB2312" w:hAnsi="宋体" w:eastAsia="仿宋_GB2312" w:cs="Times New Roman"/>
          <w:bCs/>
          <w:snapToGrid w:val="0"/>
          <w:kern w:val="32"/>
          <w:sz w:val="32"/>
          <w:szCs w:val="32"/>
          <w:lang w:eastAsia="zh-Hans"/>
        </w:rPr>
        <w:t>重点</w:t>
      </w:r>
      <w:r>
        <w:rPr>
          <w:rFonts w:hint="eastAsia" w:ascii="仿宋_GB2312" w:hAnsi="宋体" w:eastAsia="仿宋_GB2312" w:cs="Times New Roman"/>
          <w:bCs/>
          <w:snapToGrid w:val="0"/>
          <w:kern w:val="32"/>
          <w:sz w:val="32"/>
          <w:szCs w:val="32"/>
          <w:lang w:val="en-US" w:eastAsia="zh-CN"/>
        </w:rPr>
        <w:t>描述</w:t>
      </w:r>
      <w:r>
        <w:rPr>
          <w:rFonts w:hint="eastAsia" w:ascii="仿宋_GB2312" w:hAnsi="宋体" w:eastAsia="仿宋_GB2312" w:cs="Times New Roman"/>
          <w:bCs/>
          <w:snapToGrid w:val="0"/>
          <w:kern w:val="32"/>
          <w:sz w:val="32"/>
          <w:szCs w:val="32"/>
          <w:lang w:eastAsia="zh-Hans"/>
        </w:rPr>
        <w:t>餐饮、雨棚、共享充电宝、便利店、自动售货机、饮水机、洗车、休息室等配套设施建设</w:t>
      </w:r>
      <w:r>
        <w:rPr>
          <w:rFonts w:hint="eastAsia" w:ascii="仿宋_GB2312" w:hAnsi="宋体" w:eastAsia="仿宋_GB2312" w:cs="Times New Roman"/>
          <w:bCs/>
          <w:snapToGrid w:val="0"/>
          <w:kern w:val="32"/>
          <w:sz w:val="32"/>
          <w:szCs w:val="32"/>
        </w:rPr>
        <w:t>服务情况</w:t>
      </w:r>
      <w:r>
        <w:rPr>
          <w:rFonts w:hint="eastAsia" w:ascii="仿宋_GB2312" w:hAnsi="宋体" w:eastAsia="仿宋_GB2312" w:cs="Times New Roman"/>
          <w:bCs/>
          <w:snapToGrid w:val="0"/>
          <w:kern w:val="32"/>
          <w:sz w:val="32"/>
          <w:szCs w:val="32"/>
          <w:lang w:eastAsia="zh-Hans"/>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Times New Roman"/>
          <w:snapToGrid w:val="0"/>
          <w:kern w:val="32"/>
          <w:sz w:val="32"/>
          <w:szCs w:val="32"/>
        </w:rPr>
      </w:pPr>
      <w:r>
        <w:rPr>
          <w:rFonts w:hint="eastAsia" w:ascii="楷体_GB2312" w:hAnsi="楷体_GB2312" w:eastAsia="楷体_GB2312" w:cs="楷体_GB2312"/>
          <w:bCs/>
          <w:snapToGrid w:val="0"/>
          <w:kern w:val="32"/>
          <w:sz w:val="32"/>
          <w:szCs w:val="32"/>
          <w:lang w:eastAsia="zh-CN"/>
        </w:rPr>
        <w:t>（</w:t>
      </w:r>
      <w:r>
        <w:rPr>
          <w:rFonts w:hint="eastAsia" w:ascii="楷体_GB2312" w:hAnsi="楷体_GB2312" w:eastAsia="楷体_GB2312" w:cs="楷体_GB2312"/>
          <w:bCs/>
          <w:snapToGrid w:val="0"/>
          <w:kern w:val="32"/>
          <w:sz w:val="32"/>
          <w:szCs w:val="32"/>
          <w:lang w:val="en-US" w:eastAsia="zh-CN"/>
        </w:rPr>
        <w:t>二</w:t>
      </w:r>
      <w:r>
        <w:rPr>
          <w:rFonts w:hint="eastAsia" w:ascii="楷体_GB2312" w:hAnsi="楷体_GB2312" w:eastAsia="楷体_GB2312" w:cs="楷体_GB2312"/>
          <w:bCs/>
          <w:snapToGrid w:val="0"/>
          <w:kern w:val="32"/>
          <w:sz w:val="32"/>
          <w:szCs w:val="32"/>
          <w:lang w:eastAsia="zh-CN"/>
        </w:rPr>
        <w:t>）</w:t>
      </w:r>
      <w:r>
        <w:rPr>
          <w:rFonts w:hint="eastAsia" w:ascii="楷体_GB2312" w:hAnsi="楷体_GB2312" w:eastAsia="楷体_GB2312" w:cs="楷体_GB2312"/>
          <w:bCs/>
          <w:snapToGrid w:val="0"/>
          <w:kern w:val="32"/>
          <w:sz w:val="32"/>
          <w:szCs w:val="32"/>
          <w:lang w:eastAsia="zh-Hans"/>
        </w:rPr>
        <w:t>重点区域建设保障</w:t>
      </w:r>
      <w:r>
        <w:rPr>
          <w:rFonts w:hint="eastAsia" w:ascii="楷体_GB2312" w:hAnsi="楷体_GB2312" w:eastAsia="楷体_GB2312" w:cs="楷体_GB2312"/>
          <w:bCs/>
          <w:snapToGrid w:val="0"/>
          <w:kern w:val="32"/>
          <w:sz w:val="32"/>
          <w:szCs w:val="32"/>
          <w:lang w:val="en-US" w:eastAsia="zh-CN"/>
        </w:rPr>
        <w:t>情况，</w:t>
      </w:r>
      <w:r>
        <w:rPr>
          <w:rFonts w:hint="eastAsia" w:ascii="仿宋_GB2312" w:hAnsi="宋体" w:eastAsia="仿宋_GB2312" w:cs="Times New Roman"/>
          <w:snapToGrid w:val="0"/>
          <w:kern w:val="32"/>
          <w:sz w:val="32"/>
          <w:szCs w:val="32"/>
        </w:rPr>
        <w:t>重点</w:t>
      </w:r>
      <w:r>
        <w:rPr>
          <w:rFonts w:hint="eastAsia" w:ascii="仿宋_GB2312" w:hAnsi="宋体" w:eastAsia="仿宋_GB2312" w:cs="Times New Roman"/>
          <w:snapToGrid w:val="0"/>
          <w:kern w:val="32"/>
          <w:sz w:val="32"/>
          <w:szCs w:val="32"/>
          <w:lang w:val="en-US" w:eastAsia="zh-CN"/>
        </w:rPr>
        <w:t>说明</w:t>
      </w:r>
      <w:r>
        <w:rPr>
          <w:rFonts w:hint="eastAsia" w:ascii="仿宋_GB2312" w:hAnsi="宋体" w:eastAsia="仿宋_GB2312" w:cs="Times New Roman"/>
          <w:snapToGrid w:val="0"/>
          <w:kern w:val="32"/>
          <w:sz w:val="32"/>
          <w:szCs w:val="32"/>
          <w:u w:val="none"/>
        </w:rPr>
        <w:t>在乡村、A级以上景区、高速公路服务区</w:t>
      </w:r>
      <w:r>
        <w:rPr>
          <w:rFonts w:hint="eastAsia" w:ascii="仿宋_GB2312" w:hAnsi="宋体" w:eastAsia="仿宋_GB2312" w:cs="Times New Roman"/>
          <w:snapToGrid w:val="0"/>
          <w:kern w:val="32"/>
          <w:sz w:val="32"/>
          <w:szCs w:val="32"/>
        </w:rPr>
        <w:t>等重点区域建设的充电站情况。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lang w:eastAsia="zh-CN"/>
        </w:rPr>
        <w:t>（</w:t>
      </w:r>
      <w:r>
        <w:rPr>
          <w:rFonts w:hint="eastAsia" w:ascii="楷体_GB2312" w:hAnsi="楷体_GB2312" w:eastAsia="楷体_GB2312" w:cs="楷体_GB2312"/>
          <w:bCs/>
          <w:snapToGrid w:val="0"/>
          <w:kern w:val="32"/>
          <w:sz w:val="32"/>
          <w:szCs w:val="32"/>
          <w:lang w:val="en-US" w:eastAsia="zh-CN"/>
        </w:rPr>
        <w:t>三</w:t>
      </w:r>
      <w:r>
        <w:rPr>
          <w:rFonts w:hint="eastAsia" w:ascii="楷体_GB2312" w:hAnsi="楷体_GB2312" w:eastAsia="楷体_GB2312" w:cs="楷体_GB2312"/>
          <w:bCs/>
          <w:snapToGrid w:val="0"/>
          <w:kern w:val="32"/>
          <w:sz w:val="32"/>
          <w:szCs w:val="32"/>
          <w:lang w:eastAsia="zh-CN"/>
        </w:rPr>
        <w:t>）充电停车管理</w:t>
      </w:r>
      <w:r>
        <w:rPr>
          <w:rFonts w:hint="eastAsia" w:ascii="楷体_GB2312" w:hAnsi="楷体_GB2312" w:eastAsia="楷体_GB2312" w:cs="楷体_GB2312"/>
          <w:bCs/>
          <w:snapToGrid w:val="0"/>
          <w:kern w:val="32"/>
          <w:sz w:val="32"/>
          <w:szCs w:val="32"/>
          <w:lang w:val="en-US" w:eastAsia="zh-CN"/>
        </w:rPr>
        <w:t>情况，</w:t>
      </w:r>
      <w:r>
        <w:rPr>
          <w:rFonts w:hint="eastAsia" w:ascii="仿宋_GB2312" w:hAnsi="宋体" w:eastAsia="仿宋_GB2312" w:cs="Times New Roman"/>
          <w:bCs/>
          <w:snapToGrid w:val="0"/>
          <w:kern w:val="32"/>
          <w:sz w:val="32"/>
          <w:szCs w:val="32"/>
        </w:rPr>
        <w:t>重点</w:t>
      </w:r>
      <w:r>
        <w:rPr>
          <w:rFonts w:hint="eastAsia" w:ascii="仿宋_GB2312" w:hAnsi="宋体" w:eastAsia="仿宋_GB2312" w:cs="Times New Roman"/>
          <w:bCs/>
          <w:snapToGrid w:val="0"/>
          <w:kern w:val="32"/>
          <w:sz w:val="32"/>
          <w:szCs w:val="32"/>
          <w:lang w:val="en-US" w:eastAsia="zh-CN"/>
        </w:rPr>
        <w:t>说明</w:t>
      </w:r>
      <w:r>
        <w:rPr>
          <w:rFonts w:hint="eastAsia" w:ascii="仿宋_GB2312" w:hAnsi="宋体" w:eastAsia="仿宋_GB2312" w:cs="Times New Roman"/>
          <w:bCs/>
          <w:snapToGrid w:val="0"/>
          <w:kern w:val="32"/>
          <w:sz w:val="32"/>
          <w:szCs w:val="32"/>
        </w:rPr>
        <w:t>为解决非充电车辆占用充电车位问题所采取的手段</w:t>
      </w:r>
      <w:r>
        <w:rPr>
          <w:rFonts w:hint="eastAsia" w:ascii="仿宋_GB2312" w:hAnsi="宋体" w:eastAsia="仿宋_GB2312" w:cs="Times New Roman"/>
          <w:bCs/>
          <w:snapToGrid w:val="0"/>
          <w:kern w:val="32"/>
          <w:sz w:val="32"/>
          <w:szCs w:val="32"/>
          <w:lang w:val="en-US" w:eastAsia="zh-CN"/>
        </w:rPr>
        <w:t>及效果</w:t>
      </w:r>
      <w:r>
        <w:rPr>
          <w:rFonts w:hint="eastAsia" w:ascii="仿宋_GB2312" w:hAnsi="宋体" w:eastAsia="仿宋_GB2312" w:cs="Times New Roman"/>
          <w:bCs/>
          <w:snapToGrid w:val="0"/>
          <w:kern w:val="32"/>
          <w:sz w:val="32"/>
          <w:szCs w:val="32"/>
        </w:rPr>
        <w:t>。</w:t>
      </w:r>
    </w:p>
    <w:p>
      <w:pPr>
        <w:pStyle w:val="2"/>
        <w:spacing w:line="560" w:lineRule="exact"/>
        <w:ind w:firstLine="643" w:firstLineChars="200"/>
        <w:jc w:val="both"/>
        <w:rPr>
          <w:rFonts w:hint="eastAsia" w:ascii="黑体" w:hAnsi="黑体" w:eastAsia="黑体" w:cs="Times New Roman"/>
          <w:bCs/>
          <w:snapToGrid w:val="0"/>
          <w:kern w:val="32"/>
          <w:sz w:val="32"/>
          <w:szCs w:val="32"/>
        </w:rPr>
      </w:pPr>
      <w:r>
        <w:rPr>
          <w:rFonts w:hint="eastAsia" w:ascii="黑体" w:hAnsi="黑体" w:eastAsia="黑体" w:cs="Times New Roman"/>
          <w:bCs/>
          <w:snapToGrid w:val="0"/>
          <w:kern w:val="32"/>
          <w:sz w:val="32"/>
          <w:szCs w:val="32"/>
        </w:rPr>
        <w:t>六、附件</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1.充换电设施建设明细表（从市级平台导出）。</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2.市级平台开具的接入说明。</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3.申报单位营业执照。</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4.申报单位关于奖励资金发放的银行账号信息的说明，包括开户名称及账号。</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5.申报单位安全生产管理制度相关文件</w:t>
      </w:r>
      <w:r>
        <w:rPr>
          <w:rFonts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lang w:eastAsia="zh-Hans"/>
        </w:rPr>
        <w:t>重点</w:t>
      </w:r>
      <w:r>
        <w:rPr>
          <w:rFonts w:hint="eastAsia" w:ascii="仿宋_GB2312" w:hAnsi="宋体" w:eastAsia="仿宋_GB2312" w:cs="宋体"/>
          <w:bCs/>
          <w:snapToGrid w:val="0"/>
          <w:color w:val="000000"/>
          <w:kern w:val="32"/>
          <w:sz w:val="32"/>
          <w:szCs w:val="32"/>
        </w:rPr>
        <w:t>包括岗位责任制、巡查制度、隐患排查治理制度及巡检记录、应急值守制度、安全培训制度、</w:t>
      </w:r>
      <w:r>
        <w:rPr>
          <w:rFonts w:hint="eastAsia" w:ascii="仿宋_GB2312" w:hAnsi="宋体" w:eastAsia="仿宋_GB2312" w:cs="宋体"/>
          <w:bCs/>
          <w:snapToGrid w:val="0"/>
          <w:color w:val="000000"/>
          <w:kern w:val="32"/>
          <w:sz w:val="32"/>
          <w:szCs w:val="32"/>
          <w:lang w:val="en-US" w:eastAsia="zh-CN"/>
        </w:rPr>
        <w:t>运维团队人员</w:t>
      </w:r>
      <w:r>
        <w:rPr>
          <w:rFonts w:hint="eastAsia" w:ascii="仿宋_GB2312" w:hAnsi="宋体" w:eastAsia="仿宋_GB2312" w:cs="宋体"/>
          <w:bCs/>
          <w:snapToGrid w:val="0"/>
          <w:color w:val="000000"/>
          <w:kern w:val="32"/>
          <w:sz w:val="32"/>
          <w:szCs w:val="32"/>
          <w:lang w:eastAsia="zh-Hans"/>
        </w:rPr>
        <w:t>资质证书</w:t>
      </w:r>
      <w:r>
        <w:rPr>
          <w:rFonts w:hint="eastAsia" w:ascii="仿宋_GB2312" w:hAnsi="宋体" w:eastAsia="仿宋_GB2312" w:cs="宋体"/>
          <w:bCs/>
          <w:snapToGrid w:val="0"/>
          <w:color w:val="000000"/>
          <w:kern w:val="32"/>
          <w:sz w:val="32"/>
          <w:szCs w:val="32"/>
        </w:rPr>
        <w:t>及对应的</w:t>
      </w:r>
      <w:r>
        <w:rPr>
          <w:rFonts w:hint="eastAsia" w:ascii="仿宋_GB2312" w:hAnsi="宋体" w:eastAsia="仿宋_GB2312" w:cs="宋体"/>
          <w:bCs/>
          <w:snapToGrid w:val="0"/>
          <w:color w:val="000000"/>
          <w:kern w:val="32"/>
          <w:sz w:val="32"/>
          <w:szCs w:val="32"/>
          <w:u w:val="none"/>
        </w:rPr>
        <w:t>近3个月</w:t>
      </w:r>
      <w:r>
        <w:rPr>
          <w:rFonts w:hint="eastAsia" w:ascii="仿宋_GB2312" w:hAnsi="宋体" w:eastAsia="仿宋_GB2312" w:cs="宋体"/>
          <w:bCs/>
          <w:snapToGrid w:val="0"/>
          <w:color w:val="000000"/>
          <w:kern w:val="32"/>
          <w:sz w:val="32"/>
          <w:szCs w:val="32"/>
        </w:rPr>
        <w:t>的社保</w:t>
      </w:r>
      <w:r>
        <w:rPr>
          <w:rFonts w:hint="eastAsia" w:ascii="仿宋_GB2312" w:hAnsi="宋体" w:eastAsia="仿宋_GB2312" w:cs="宋体"/>
          <w:bCs/>
          <w:snapToGrid w:val="0"/>
          <w:color w:val="000000"/>
          <w:kern w:val="32"/>
          <w:sz w:val="32"/>
          <w:szCs w:val="32"/>
          <w:lang w:eastAsia="zh-CN"/>
        </w:rPr>
        <w:t>缴纳记录</w:t>
      </w:r>
      <w:r>
        <w:rPr>
          <w:rFonts w:hint="eastAsia" w:ascii="仿宋_GB2312" w:hAnsi="宋体" w:eastAsia="仿宋_GB2312" w:cs="宋体"/>
          <w:bCs/>
          <w:snapToGrid w:val="0"/>
          <w:color w:val="000000"/>
          <w:kern w:val="32"/>
          <w:sz w:val="32"/>
          <w:szCs w:val="32"/>
        </w:rPr>
        <w:t>等。</w:t>
      </w:r>
    </w:p>
    <w:p>
      <w:pPr>
        <w:spacing w:line="560" w:lineRule="exact"/>
        <w:ind w:firstLine="640" w:firstLineChars="200"/>
        <w:rPr>
          <w:rFonts w:ascii="仿宋_GB2312" w:hAnsi="宋体" w:eastAsia="仿宋_GB2312" w:cs="宋体"/>
          <w:bCs/>
          <w:snapToGrid w:val="0"/>
          <w:color w:val="000000"/>
          <w:kern w:val="32"/>
          <w:sz w:val="32"/>
          <w:szCs w:val="32"/>
          <w:highlight w:val="none"/>
        </w:rPr>
      </w:pPr>
      <w:r>
        <w:rPr>
          <w:rFonts w:hint="eastAsia" w:ascii="仿宋_GB2312" w:hAnsi="宋体" w:eastAsia="仿宋_GB2312" w:cs="宋体"/>
          <w:bCs/>
          <w:snapToGrid w:val="0"/>
          <w:color w:val="000000"/>
          <w:kern w:val="32"/>
          <w:sz w:val="32"/>
          <w:szCs w:val="32"/>
        </w:rPr>
        <w:t>6.</w:t>
      </w:r>
      <w:r>
        <w:rPr>
          <w:rFonts w:hint="eastAsia" w:ascii="仿宋_GB2312" w:hAnsi="宋体" w:eastAsia="仿宋_GB2312" w:cs="宋体"/>
          <w:bCs/>
          <w:snapToGrid w:val="0"/>
          <w:color w:val="000000"/>
          <w:kern w:val="32"/>
          <w:sz w:val="32"/>
          <w:szCs w:val="32"/>
          <w:lang w:eastAsia="zh-Hans"/>
        </w:rPr>
        <w:t>单位内部充电设施</w:t>
      </w:r>
      <w:r>
        <w:rPr>
          <w:rFonts w:hint="eastAsia"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lang w:eastAsia="zh-Hans"/>
        </w:rPr>
        <w:t>移动充电设施</w:t>
      </w:r>
      <w:r>
        <w:rPr>
          <w:rFonts w:hint="eastAsia" w:ascii="仿宋_GB2312" w:hAnsi="宋体" w:eastAsia="仿宋_GB2312" w:cs="宋体"/>
          <w:bCs/>
          <w:snapToGrid w:val="0"/>
          <w:color w:val="000000"/>
          <w:kern w:val="32"/>
          <w:sz w:val="32"/>
          <w:szCs w:val="32"/>
        </w:rPr>
        <w:t>、公用充电设施（含居住区公用和社会公用）、</w:t>
      </w:r>
      <w:r>
        <w:rPr>
          <w:rFonts w:hint="eastAsia" w:ascii="仿宋_GB2312" w:hAnsi="宋体" w:eastAsia="仿宋_GB2312" w:cs="宋体"/>
          <w:bCs/>
          <w:snapToGrid w:val="0"/>
          <w:color w:val="000000"/>
          <w:kern w:val="32"/>
          <w:sz w:val="32"/>
          <w:szCs w:val="32"/>
          <w:lang w:eastAsia="zh-Hans"/>
        </w:rPr>
        <w:t>换电设施</w:t>
      </w:r>
      <w:r>
        <w:rPr>
          <w:rFonts w:hint="eastAsia" w:ascii="仿宋_GB2312" w:hAnsi="宋体" w:eastAsia="仿宋_GB2312" w:cs="宋体"/>
          <w:bCs/>
          <w:snapToGrid w:val="0"/>
          <w:color w:val="000000"/>
          <w:kern w:val="32"/>
          <w:sz w:val="32"/>
          <w:szCs w:val="32"/>
        </w:rPr>
        <w:t>，V2G、光（储）充、有序充电桩等示范充电站（桩）的申报单位</w:t>
      </w:r>
      <w:r>
        <w:rPr>
          <w:rFonts w:ascii="仿宋_GB2312" w:hAnsi="宋体" w:eastAsia="仿宋_GB2312" w:cs="宋体"/>
          <w:bCs/>
          <w:snapToGrid w:val="0"/>
          <w:color w:val="000000"/>
          <w:kern w:val="32"/>
          <w:sz w:val="32"/>
          <w:szCs w:val="32"/>
        </w:rPr>
        <w:t>与场地方签订的</w:t>
      </w:r>
      <w:r>
        <w:rPr>
          <w:rFonts w:hint="eastAsia" w:ascii="仿宋_GB2312" w:hAnsi="宋体" w:eastAsia="仿宋_GB2312" w:cs="宋体"/>
          <w:bCs/>
          <w:snapToGrid w:val="0"/>
          <w:color w:val="000000"/>
          <w:kern w:val="32"/>
          <w:sz w:val="32"/>
          <w:szCs w:val="32"/>
        </w:rPr>
        <w:t>充换电设施建设合作协议，协议应签订至2024年12月31日及以后，其中：居住区公用充电设施可由业委会、物管会、居民委员会、村民委员会出具的意见书代替。</w:t>
      </w:r>
      <w:r>
        <w:rPr>
          <w:rFonts w:hint="eastAsia" w:ascii="仿宋_GB2312" w:hAnsi="宋体" w:eastAsia="仿宋_GB2312" w:cs="宋体"/>
          <w:bCs/>
          <w:snapToGrid w:val="0"/>
          <w:kern w:val="32"/>
          <w:sz w:val="32"/>
          <w:szCs w:val="32"/>
          <w:highlight w:val="none"/>
          <w:u w:val="none"/>
        </w:rPr>
        <w:t>充电精品示范区中示范站点的建设运营单位</w:t>
      </w:r>
      <w:r>
        <w:rPr>
          <w:rFonts w:hint="eastAsia" w:ascii="仿宋_GB2312" w:hAnsi="宋体" w:eastAsia="仿宋_GB2312" w:cs="宋体"/>
          <w:bCs/>
          <w:snapToGrid w:val="0"/>
          <w:color w:val="000000"/>
          <w:kern w:val="32"/>
          <w:sz w:val="32"/>
          <w:szCs w:val="32"/>
          <w:highlight w:val="none"/>
          <w:u w:val="none"/>
        </w:rPr>
        <w:t>、“统建统服”试点项目</w:t>
      </w:r>
      <w:r>
        <w:rPr>
          <w:rFonts w:hint="eastAsia" w:ascii="仿宋_GB2312" w:hAnsi="宋体" w:eastAsia="仿宋_GB2312" w:cs="宋体"/>
          <w:bCs/>
          <w:snapToGrid w:val="0"/>
          <w:kern w:val="32"/>
          <w:sz w:val="32"/>
          <w:szCs w:val="32"/>
          <w:highlight w:val="none"/>
          <w:u w:val="none"/>
        </w:rPr>
        <w:t>服务商与场地方签订的充换电设施建设合作协议的有效期结束时间不早于202</w:t>
      </w:r>
      <w:r>
        <w:rPr>
          <w:rFonts w:ascii="仿宋_GB2312" w:hAnsi="宋体" w:eastAsia="仿宋_GB2312" w:cs="宋体"/>
          <w:bCs/>
          <w:snapToGrid w:val="0"/>
          <w:kern w:val="32"/>
          <w:sz w:val="32"/>
          <w:szCs w:val="32"/>
          <w:highlight w:val="none"/>
          <w:u w:val="none"/>
        </w:rPr>
        <w:t>4</w:t>
      </w:r>
      <w:r>
        <w:rPr>
          <w:rFonts w:hint="eastAsia" w:ascii="仿宋_GB2312" w:hAnsi="宋体" w:eastAsia="仿宋_GB2312" w:cs="宋体"/>
          <w:bCs/>
          <w:snapToGrid w:val="0"/>
          <w:kern w:val="32"/>
          <w:sz w:val="32"/>
          <w:szCs w:val="32"/>
          <w:highlight w:val="none"/>
          <w:u w:val="none"/>
        </w:rPr>
        <w:t>年12月31日且能证明协议能够正常续约至项目建成验收后运营5年及以上</w:t>
      </w:r>
      <w:r>
        <w:rPr>
          <w:rFonts w:hint="eastAsia" w:ascii="仿宋_GB2312" w:hAnsi="宋体" w:eastAsia="仿宋_GB2312" w:cs="宋体"/>
          <w:bCs/>
          <w:snapToGrid w:val="0"/>
          <w:color w:val="000000"/>
          <w:kern w:val="32"/>
          <w:sz w:val="32"/>
          <w:szCs w:val="32"/>
          <w:highlight w:val="none"/>
        </w:rPr>
        <w:t>。</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7.第三方检测机构（具备CMA或CNAS资质）出具的充换电设施产品标准符合性合格报告（除申报单位内部充电设施</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rPr>
        <w:t>V2G、光（储）充、有序充电桩之外，申报其他项目提交）。</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8.具有明确验收结论且验收单位盖章的充换电设施竣工验收报告（除内部充电设施</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rPr>
        <w:t>V2G、光（储）充、有序充电桩</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highlight w:val="none"/>
          <w:u w:val="none"/>
        </w:rPr>
        <w:t>“统建统服”试点项目</w:t>
      </w:r>
      <w:r>
        <w:rPr>
          <w:rFonts w:hint="eastAsia" w:ascii="仿宋_GB2312" w:hAnsi="宋体" w:eastAsia="仿宋_GB2312" w:cs="宋体"/>
          <w:bCs/>
          <w:snapToGrid w:val="0"/>
          <w:color w:val="000000"/>
          <w:kern w:val="32"/>
          <w:sz w:val="32"/>
          <w:szCs w:val="32"/>
        </w:rPr>
        <w:t>之外，其他项目提交）。</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9.第三方检测机构（具备CNAS资质）出具的现场验收检验报告</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lang w:val="en-US" w:eastAsia="zh-CN"/>
        </w:rPr>
        <w:t>验收检测内容见附件2-1</w:t>
      </w:r>
      <w:r>
        <w:rPr>
          <w:rFonts w:hint="eastAsia" w:ascii="仿宋_GB2312" w:hAnsi="宋体" w:eastAsia="仿宋_GB2312" w:cs="宋体"/>
          <w:bCs/>
          <w:snapToGrid w:val="0"/>
          <w:color w:val="000000"/>
          <w:kern w:val="32"/>
          <w:sz w:val="32"/>
          <w:szCs w:val="32"/>
        </w:rPr>
        <w:t>（仅单位内部充电设施</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rPr>
        <w:t>V2G、光（储）充、有序充电桩</w:t>
      </w:r>
      <w:r>
        <w:rPr>
          <w:rFonts w:hint="eastAsia" w:ascii="仿宋_GB2312" w:hAnsi="宋体" w:eastAsia="仿宋_GB2312" w:cs="宋体"/>
          <w:bCs/>
          <w:snapToGrid w:val="0"/>
          <w:color w:val="000000"/>
          <w:kern w:val="32"/>
          <w:sz w:val="32"/>
          <w:szCs w:val="32"/>
          <w:highlight w:val="none"/>
          <w:u w:val="none"/>
        </w:rPr>
        <w:t>、“统建统服”试点项目、充电精品示范区</w:t>
      </w:r>
      <w:r>
        <w:rPr>
          <w:rFonts w:hint="eastAsia" w:ascii="仿宋_GB2312" w:hAnsi="宋体" w:eastAsia="仿宋_GB2312" w:cs="宋体"/>
          <w:bCs/>
          <w:snapToGrid w:val="0"/>
          <w:color w:val="000000"/>
          <w:kern w:val="32"/>
          <w:sz w:val="32"/>
          <w:szCs w:val="32"/>
        </w:rPr>
        <w:t>提交）。</w:t>
      </w:r>
    </w:p>
    <w:p>
      <w:pPr>
        <w:spacing w:line="560" w:lineRule="exact"/>
        <w:ind w:firstLine="640" w:firstLineChars="200"/>
      </w:pPr>
      <w:r>
        <w:rPr>
          <w:rFonts w:hint="eastAsia" w:ascii="仿宋_GB2312" w:hAnsi="宋体" w:eastAsia="仿宋_GB2312" w:cs="宋体"/>
          <w:bCs/>
          <w:snapToGrid w:val="0"/>
          <w:color w:val="000000"/>
          <w:kern w:val="32"/>
          <w:sz w:val="32"/>
          <w:szCs w:val="32"/>
        </w:rPr>
        <w:t>10.充电安全责任保险、火灾保险或公众责任险等保单</w:t>
      </w:r>
      <w:r>
        <w:rPr>
          <w:rFonts w:hint="eastAsia" w:ascii="仿宋_GB2312" w:hAnsi="宋体" w:eastAsia="仿宋_GB2312" w:cs="宋体"/>
          <w:bCs/>
          <w:snapToGrid w:val="0"/>
          <w:color w:val="000000"/>
          <w:kern w:val="32"/>
          <w:sz w:val="32"/>
          <w:szCs w:val="32"/>
          <w:lang w:eastAsia="zh-Hans"/>
        </w:rPr>
        <w:t>及明细</w:t>
      </w:r>
      <w:r>
        <w:rPr>
          <w:rFonts w:hint="eastAsia"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lang w:eastAsia="zh-Hans"/>
        </w:rPr>
        <w:t>保单时间需覆盖至</w:t>
      </w:r>
      <w:r>
        <w:rPr>
          <w:rFonts w:ascii="仿宋_GB2312" w:hAnsi="宋体" w:eastAsia="仿宋_GB2312" w:cs="宋体"/>
          <w:bCs/>
          <w:snapToGrid w:val="0"/>
          <w:color w:val="000000"/>
          <w:kern w:val="32"/>
          <w:sz w:val="32"/>
          <w:szCs w:val="32"/>
          <w:lang w:eastAsia="zh-Hans"/>
        </w:rPr>
        <w:t>2023</w:t>
      </w:r>
      <w:r>
        <w:rPr>
          <w:rFonts w:hint="eastAsia" w:ascii="仿宋_GB2312" w:hAnsi="宋体" w:eastAsia="仿宋_GB2312" w:cs="宋体"/>
          <w:bCs/>
          <w:snapToGrid w:val="0"/>
          <w:color w:val="000000"/>
          <w:kern w:val="32"/>
          <w:sz w:val="32"/>
          <w:szCs w:val="32"/>
          <w:lang w:eastAsia="zh-Hans"/>
        </w:rPr>
        <w:t>年</w:t>
      </w:r>
      <w:r>
        <w:rPr>
          <w:rFonts w:ascii="仿宋_GB2312" w:hAnsi="宋体" w:eastAsia="仿宋_GB2312" w:cs="宋体"/>
          <w:bCs/>
          <w:snapToGrid w:val="0"/>
          <w:color w:val="000000"/>
          <w:kern w:val="32"/>
          <w:sz w:val="32"/>
          <w:szCs w:val="32"/>
          <w:lang w:eastAsia="zh-Hans"/>
        </w:rPr>
        <w:t>12</w:t>
      </w:r>
      <w:r>
        <w:rPr>
          <w:rFonts w:hint="eastAsia" w:ascii="仿宋_GB2312" w:hAnsi="宋体" w:eastAsia="仿宋_GB2312" w:cs="宋体"/>
          <w:bCs/>
          <w:snapToGrid w:val="0"/>
          <w:color w:val="000000"/>
          <w:kern w:val="32"/>
          <w:sz w:val="32"/>
          <w:szCs w:val="32"/>
          <w:lang w:eastAsia="zh-Hans"/>
        </w:rPr>
        <w:t>月</w:t>
      </w:r>
      <w:r>
        <w:rPr>
          <w:rFonts w:hint="eastAsia" w:ascii="仿宋_GB2312" w:hAnsi="宋体" w:eastAsia="仿宋_GB2312" w:cs="宋体"/>
          <w:bCs/>
          <w:snapToGrid w:val="0"/>
          <w:color w:val="000000"/>
          <w:kern w:val="32"/>
          <w:sz w:val="32"/>
          <w:szCs w:val="32"/>
        </w:rPr>
        <w:t>。</w:t>
      </w:r>
    </w:p>
    <w:p>
      <w:pPr>
        <w:spacing w:line="560" w:lineRule="exact"/>
        <w:ind w:firstLine="640" w:firstLineChars="200"/>
        <w:rPr>
          <w:rFonts w:ascii="仿宋_GB2312" w:hAnsi="宋体" w:eastAsia="仿宋_GB2312" w:cs="宋体"/>
          <w:bCs/>
          <w:snapToGrid w:val="0"/>
          <w:color w:val="000000"/>
          <w:kern w:val="32"/>
          <w:sz w:val="32"/>
          <w:szCs w:val="32"/>
          <w:highlight w:val="none"/>
          <w:u w:val="single"/>
        </w:rPr>
      </w:pPr>
      <w:r>
        <w:rPr>
          <w:rFonts w:ascii="仿宋_GB2312" w:hAnsi="宋体" w:eastAsia="仿宋_GB2312" w:cs="宋体"/>
          <w:bCs/>
          <w:snapToGrid w:val="0"/>
          <w:color w:val="000000"/>
          <w:kern w:val="32"/>
          <w:sz w:val="32"/>
          <w:szCs w:val="32"/>
          <w:highlight w:val="none"/>
          <w:u w:val="none"/>
        </w:rPr>
        <w:t>11.</w:t>
      </w:r>
      <w:r>
        <w:rPr>
          <w:rFonts w:hint="eastAsia" w:ascii="仿宋_GB2312" w:hAnsi="宋体" w:eastAsia="仿宋_GB2312" w:cs="宋体"/>
          <w:bCs/>
          <w:snapToGrid w:val="0"/>
          <w:color w:val="000000"/>
          <w:kern w:val="32"/>
          <w:sz w:val="32"/>
          <w:szCs w:val="32"/>
          <w:highlight w:val="none"/>
          <w:u w:val="none"/>
        </w:rPr>
        <w:t>第三方组织出具的“统建统服”试点项目验收确认单（仅“统建统服”试点项目提交）。</w:t>
      </w:r>
    </w:p>
    <w:p>
      <w:pPr>
        <w:spacing w:line="560" w:lineRule="exact"/>
        <w:ind w:firstLine="640" w:firstLineChars="200"/>
        <w:rPr>
          <w:rFonts w:ascii="仿宋_GB2312" w:hAnsi="宋体" w:eastAsia="仿宋_GB2312" w:cs="宋体"/>
          <w:bCs/>
          <w:snapToGrid w:val="0"/>
          <w:color w:val="000000"/>
          <w:kern w:val="32"/>
          <w:sz w:val="32"/>
          <w:szCs w:val="32"/>
          <w:highlight w:val="yellow"/>
        </w:rPr>
      </w:pPr>
      <w:r>
        <w:rPr>
          <w:rFonts w:hint="eastAsia" w:ascii="仿宋_GB2312" w:hAnsi="宋体" w:eastAsia="仿宋_GB2312" w:cs="宋体"/>
          <w:bCs/>
          <w:snapToGrid w:val="0"/>
          <w:color w:val="000000"/>
          <w:kern w:val="32"/>
          <w:sz w:val="32"/>
          <w:szCs w:val="32"/>
        </w:rPr>
        <w:t>1</w:t>
      </w:r>
      <w:r>
        <w:rPr>
          <w:rFonts w:hint="eastAsia" w:ascii="仿宋_GB2312" w:hAnsi="宋体" w:eastAsia="仿宋_GB2312" w:cs="宋体"/>
          <w:bCs/>
          <w:snapToGrid w:val="0"/>
          <w:color w:val="000000"/>
          <w:kern w:val="32"/>
          <w:sz w:val="32"/>
          <w:szCs w:val="32"/>
          <w:lang w:val="en-US" w:eastAsia="zh-CN"/>
        </w:rPr>
        <w:t>2</w:t>
      </w:r>
      <w:r>
        <w:rPr>
          <w:rFonts w:hint="eastAsia" w:ascii="仿宋_GB2312" w:hAnsi="宋体" w:eastAsia="仿宋_GB2312" w:cs="宋体"/>
          <w:bCs/>
          <w:snapToGrid w:val="0"/>
          <w:color w:val="000000"/>
          <w:kern w:val="32"/>
          <w:sz w:val="32"/>
          <w:szCs w:val="32"/>
        </w:rPr>
        <w:t>.</w:t>
      </w:r>
      <w:r>
        <w:rPr>
          <w:rFonts w:hint="eastAsia" w:ascii="仿宋_GB2312" w:hAnsi="宋体" w:eastAsia="仿宋_GB2312" w:cs="宋体"/>
          <w:bCs/>
          <w:snapToGrid w:val="0"/>
          <w:color w:val="000000"/>
          <w:kern w:val="32"/>
          <w:sz w:val="32"/>
          <w:szCs w:val="32"/>
          <w:lang w:eastAsia="zh-Hans"/>
        </w:rPr>
        <w:t>建设投资情况</w:t>
      </w:r>
      <w:r>
        <w:rPr>
          <w:rFonts w:ascii="仿宋_GB2312" w:hAnsi="宋体" w:eastAsia="仿宋_GB2312" w:cs="宋体"/>
          <w:bCs/>
          <w:snapToGrid w:val="0"/>
          <w:color w:val="000000"/>
          <w:kern w:val="32"/>
          <w:sz w:val="32"/>
          <w:szCs w:val="32"/>
          <w:lang w:eastAsia="zh-Hans"/>
        </w:rPr>
        <w:t>，</w:t>
      </w:r>
      <w:r>
        <w:rPr>
          <w:rFonts w:ascii="仿宋_GB2312" w:eastAsia="仿宋_GB2312" w:hAnsiTheme="minorEastAsia"/>
          <w:sz w:val="32"/>
          <w:lang w:eastAsia="zh-Hans"/>
        </w:rPr>
        <w:t>包括充电桩设备购置、电气改造、土建</w:t>
      </w:r>
      <w:r>
        <w:rPr>
          <w:rFonts w:ascii="仿宋_GB2312" w:eastAsia="仿宋_GB2312" w:hAnsiTheme="minorEastAsia"/>
          <w:sz w:val="32"/>
        </w:rPr>
        <w:t>、</w:t>
      </w:r>
      <w:r>
        <w:rPr>
          <w:rFonts w:hint="eastAsia" w:ascii="仿宋_GB2312" w:eastAsia="仿宋_GB2312" w:hAnsiTheme="minorEastAsia"/>
          <w:sz w:val="32"/>
        </w:rPr>
        <w:t>其他固定资产投资</w:t>
      </w:r>
      <w:r>
        <w:rPr>
          <w:rFonts w:hint="eastAsia" w:ascii="仿宋_GB2312" w:eastAsia="仿宋_GB2312" w:hAnsiTheme="minorEastAsia"/>
          <w:sz w:val="32"/>
          <w:lang w:eastAsia="zh-Hans"/>
        </w:rPr>
        <w:t>费用</w:t>
      </w:r>
      <w:r>
        <w:rPr>
          <w:rFonts w:hint="eastAsia" w:ascii="仿宋_GB2312" w:hAnsi="宋体" w:eastAsia="仿宋_GB2312" w:cs="宋体"/>
          <w:bCs/>
          <w:snapToGrid w:val="0"/>
          <w:color w:val="000000"/>
          <w:kern w:val="32"/>
          <w:sz w:val="32"/>
          <w:szCs w:val="32"/>
        </w:rPr>
        <w:t>及</w:t>
      </w:r>
      <w:r>
        <w:rPr>
          <w:rFonts w:hint="eastAsia" w:ascii="仿宋_GB2312" w:hAnsi="宋体" w:eastAsia="仿宋_GB2312" w:cs="宋体"/>
          <w:bCs/>
          <w:snapToGrid w:val="0"/>
          <w:color w:val="000000"/>
          <w:kern w:val="32"/>
          <w:sz w:val="32"/>
          <w:szCs w:val="32"/>
          <w:lang w:eastAsia="zh-Hans"/>
        </w:rPr>
        <w:t>对应合同</w:t>
      </w:r>
      <w:r>
        <w:rPr>
          <w:rFonts w:hint="eastAsia" w:ascii="仿宋_GB2312" w:hAnsi="宋体" w:eastAsia="仿宋_GB2312" w:cs="宋体"/>
          <w:bCs/>
          <w:snapToGrid w:val="0"/>
          <w:color w:val="000000"/>
          <w:kern w:val="32"/>
          <w:sz w:val="32"/>
          <w:szCs w:val="32"/>
        </w:rPr>
        <w:t>、发票等财务凭证（</w:t>
      </w:r>
      <w:r>
        <w:rPr>
          <w:rFonts w:hint="eastAsia" w:ascii="仿宋_GB2312" w:hAnsi="宋体" w:eastAsia="仿宋_GB2312" w:cs="宋体"/>
          <w:bCs/>
          <w:snapToGrid w:val="0"/>
          <w:color w:val="000000"/>
          <w:kern w:val="32"/>
          <w:sz w:val="32"/>
          <w:szCs w:val="32"/>
          <w:lang w:val="en-US" w:eastAsia="zh-CN"/>
        </w:rPr>
        <w:t>仅申报</w:t>
      </w:r>
      <w:r>
        <w:rPr>
          <w:rFonts w:hint="eastAsia" w:ascii="仿宋_GB2312" w:hAnsi="宋体" w:eastAsia="仿宋_GB2312" w:cs="宋体"/>
          <w:bCs/>
          <w:snapToGrid w:val="0"/>
          <w:color w:val="000000"/>
          <w:kern w:val="32"/>
          <w:sz w:val="32"/>
          <w:szCs w:val="32"/>
          <w:lang w:eastAsia="zh-Hans"/>
        </w:rPr>
        <w:t>单位内部充电设施</w:t>
      </w:r>
      <w:r>
        <w:rPr>
          <w:rFonts w:hint="eastAsia" w:ascii="仿宋_GB2312" w:hAnsi="宋体" w:eastAsia="仿宋_GB2312" w:cs="宋体"/>
          <w:bCs/>
          <w:snapToGrid w:val="0"/>
          <w:color w:val="000000"/>
          <w:kern w:val="32"/>
          <w:sz w:val="32"/>
          <w:szCs w:val="32"/>
        </w:rPr>
        <w:t>、公用充电设施、</w:t>
      </w:r>
      <w:r>
        <w:rPr>
          <w:rFonts w:hint="eastAsia" w:ascii="仿宋_GB2312" w:hAnsi="宋体" w:eastAsia="仿宋_GB2312" w:cs="宋体"/>
          <w:bCs/>
          <w:snapToGrid w:val="0"/>
          <w:color w:val="000000"/>
          <w:kern w:val="32"/>
          <w:sz w:val="32"/>
          <w:szCs w:val="32"/>
          <w:lang w:eastAsia="zh-Hans"/>
        </w:rPr>
        <w:t>换电设施</w:t>
      </w:r>
      <w:r>
        <w:rPr>
          <w:rFonts w:hint="eastAsia" w:ascii="仿宋_GB2312" w:hAnsi="宋体" w:eastAsia="仿宋_GB2312" w:cs="宋体"/>
          <w:bCs/>
          <w:snapToGrid w:val="0"/>
          <w:color w:val="000000"/>
          <w:kern w:val="32"/>
          <w:sz w:val="32"/>
          <w:szCs w:val="32"/>
        </w:rPr>
        <w:t>，V2G、光储充、有序充电桩提交）。</w:t>
      </w:r>
    </w:p>
    <w:p>
      <w:pPr>
        <w:spacing w:line="560" w:lineRule="exact"/>
        <w:ind w:firstLine="640" w:firstLineChars="200"/>
        <w:rPr>
          <w:rFonts w:ascii="仿宋_GB2312" w:hAnsi="宋体" w:eastAsia="仿宋_GB2312" w:cs="宋体"/>
          <w:bCs/>
          <w:snapToGrid w:val="0"/>
          <w:color w:val="000000"/>
          <w:kern w:val="32"/>
          <w:sz w:val="32"/>
          <w:szCs w:val="32"/>
        </w:rPr>
      </w:pPr>
      <w:r>
        <w:rPr>
          <w:rFonts w:hint="eastAsia" w:ascii="仿宋_GB2312" w:hAnsi="宋体" w:eastAsia="仿宋_GB2312" w:cs="宋体"/>
          <w:bCs/>
          <w:snapToGrid w:val="0"/>
          <w:color w:val="000000"/>
          <w:kern w:val="32"/>
          <w:sz w:val="32"/>
          <w:szCs w:val="32"/>
        </w:rPr>
        <w:t>1</w:t>
      </w:r>
      <w:r>
        <w:rPr>
          <w:rFonts w:hint="eastAsia" w:ascii="仿宋_GB2312" w:hAnsi="宋体" w:eastAsia="仿宋_GB2312" w:cs="宋体"/>
          <w:bCs/>
          <w:snapToGrid w:val="0"/>
          <w:color w:val="000000"/>
          <w:kern w:val="32"/>
          <w:sz w:val="32"/>
          <w:szCs w:val="32"/>
          <w:lang w:val="en-US" w:eastAsia="zh-CN"/>
        </w:rPr>
        <w:t>3</w:t>
      </w:r>
      <w:r>
        <w:rPr>
          <w:rFonts w:hint="eastAsia" w:ascii="仿宋_GB2312" w:hAnsi="宋体" w:eastAsia="仿宋_GB2312" w:cs="宋体"/>
          <w:bCs/>
          <w:snapToGrid w:val="0"/>
          <w:color w:val="000000"/>
          <w:kern w:val="32"/>
          <w:sz w:val="32"/>
          <w:szCs w:val="32"/>
        </w:rPr>
        <w:t>.充电设施可为公务用车及职工自有电动汽车使用的说明（仅申报单位内部充电设施提交</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lang w:val="en-US" w:eastAsia="zh-CN"/>
        </w:rPr>
        <w:t>附件2-2</w:t>
      </w:r>
      <w:r>
        <w:rPr>
          <w:rFonts w:hint="eastAsia" w:ascii="仿宋_GB2312" w:hAnsi="宋体" w:eastAsia="仿宋_GB2312" w:cs="宋体"/>
          <w:bCs/>
          <w:snapToGrid w:val="0"/>
          <w:color w:val="000000"/>
          <w:kern w:val="32"/>
          <w:sz w:val="32"/>
          <w:szCs w:val="32"/>
        </w:rPr>
        <w:t>）。</w:t>
      </w:r>
    </w:p>
    <w:p>
      <w:pPr>
        <w:spacing w:line="560" w:lineRule="exact"/>
        <w:ind w:firstLine="640" w:firstLineChars="200"/>
        <w:rPr>
          <w:rFonts w:hint="eastAsia" w:ascii="仿宋_GB2312" w:hAnsi="宋体" w:eastAsia="仿宋_GB2312" w:cs="宋体"/>
          <w:bCs/>
          <w:snapToGrid w:val="0"/>
          <w:color w:val="000000"/>
          <w:kern w:val="32"/>
          <w:sz w:val="32"/>
          <w:szCs w:val="32"/>
        </w:rPr>
        <w:sectPr>
          <w:pgSz w:w="11906" w:h="16838"/>
          <w:pgMar w:top="1440" w:right="1800" w:bottom="1440" w:left="1800" w:header="851" w:footer="992" w:gutter="0"/>
          <w:pgNumType w:fmt="decimal"/>
          <w:cols w:space="720" w:num="1"/>
          <w:docGrid w:type="lines" w:linePitch="312" w:charSpace="0"/>
        </w:sectPr>
      </w:pPr>
      <w:r>
        <w:rPr>
          <w:rFonts w:hint="eastAsia" w:ascii="仿宋_GB2312" w:hAnsi="宋体" w:eastAsia="仿宋_GB2312" w:cs="宋体"/>
          <w:bCs/>
          <w:snapToGrid w:val="0"/>
          <w:color w:val="000000"/>
          <w:kern w:val="32"/>
          <w:sz w:val="32"/>
          <w:szCs w:val="32"/>
        </w:rPr>
        <w:t>1</w:t>
      </w:r>
      <w:r>
        <w:rPr>
          <w:rFonts w:hint="eastAsia" w:ascii="仿宋_GB2312" w:hAnsi="宋体" w:eastAsia="仿宋_GB2312" w:cs="宋体"/>
          <w:bCs/>
          <w:snapToGrid w:val="0"/>
          <w:color w:val="000000"/>
          <w:kern w:val="32"/>
          <w:sz w:val="32"/>
          <w:szCs w:val="32"/>
          <w:lang w:val="en-US" w:eastAsia="zh-CN"/>
        </w:rPr>
        <w:t>4</w:t>
      </w:r>
      <w:r>
        <w:rPr>
          <w:rFonts w:hint="eastAsia" w:ascii="仿宋_GB2312" w:hAnsi="宋体" w:eastAsia="仿宋_GB2312" w:cs="宋体"/>
          <w:bCs/>
          <w:snapToGrid w:val="0"/>
          <w:color w:val="000000"/>
          <w:kern w:val="32"/>
          <w:sz w:val="32"/>
          <w:szCs w:val="32"/>
        </w:rPr>
        <w:t>.申报单位承诺书</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lang w:val="en-US" w:eastAsia="zh-CN"/>
        </w:rPr>
        <w:t>附件2-3</w:t>
      </w:r>
      <w:r>
        <w:rPr>
          <w:rFonts w:hint="eastAsia" w:ascii="仿宋_GB2312" w:hAnsi="宋体" w:eastAsia="仿宋_GB2312" w:cs="宋体"/>
          <w:bCs/>
          <w:snapToGrid w:val="0"/>
          <w:color w:val="000000"/>
          <w:kern w:val="32"/>
          <w:sz w:val="32"/>
          <w:szCs w:val="32"/>
          <w:lang w:eastAsia="zh-CN"/>
        </w:rPr>
        <w:t>）</w:t>
      </w:r>
      <w:r>
        <w:rPr>
          <w:rFonts w:hint="eastAsia" w:ascii="仿宋_GB2312" w:hAnsi="宋体" w:eastAsia="仿宋_GB2312" w:cs="宋体"/>
          <w:bCs/>
          <w:snapToGrid w:val="0"/>
          <w:color w:val="000000"/>
          <w:kern w:val="32"/>
          <w:sz w:val="32"/>
          <w:szCs w:val="32"/>
        </w:rPr>
        <w:t>。</w:t>
      </w:r>
    </w:p>
    <w:p>
      <w:pPr>
        <w:keepNext/>
        <w:keepLines/>
        <w:widowControl/>
        <w:adjustRightInd w:val="0"/>
        <w:snapToGrid w:val="0"/>
        <w:spacing w:line="560" w:lineRule="exact"/>
        <w:outlineLvl w:val="0"/>
        <w:rPr>
          <w:rFonts w:hint="eastAsia" w:ascii="黑体" w:hAnsi="黑体" w:eastAsia="黑体" w:cs="黑体"/>
          <w:bCs/>
          <w:snapToGrid w:val="0"/>
          <w:kern w:val="44"/>
          <w:sz w:val="32"/>
          <w:szCs w:val="32"/>
        </w:rPr>
      </w:pPr>
      <w:r>
        <w:rPr>
          <w:rFonts w:hint="eastAsia" w:ascii="黑体" w:hAnsi="黑体" w:eastAsia="黑体" w:cs="黑体"/>
          <w:bCs/>
          <w:snapToGrid w:val="0"/>
          <w:kern w:val="44"/>
          <w:sz w:val="32"/>
          <w:szCs w:val="32"/>
        </w:rPr>
        <w:t>附件</w:t>
      </w:r>
      <w:r>
        <w:rPr>
          <w:rFonts w:hint="eastAsia" w:ascii="黑体" w:hAnsi="黑体" w:eastAsia="黑体" w:cs="黑体"/>
          <w:bCs/>
          <w:snapToGrid w:val="0"/>
          <w:kern w:val="44"/>
          <w:sz w:val="32"/>
          <w:szCs w:val="32"/>
          <w:lang w:val="en-US" w:eastAsia="zh-CN"/>
        </w:rPr>
        <w:t>2-1</w:t>
      </w:r>
      <w:r>
        <w:rPr>
          <w:rFonts w:hint="eastAsia" w:ascii="黑体" w:hAnsi="黑体" w:eastAsia="黑体" w:cs="黑体"/>
          <w:bCs/>
          <w:snapToGrid w:val="0"/>
          <w:kern w:val="44"/>
          <w:sz w:val="32"/>
          <w:szCs w:val="32"/>
        </w:rPr>
        <w:t xml:space="preserve"> </w:t>
      </w:r>
    </w:p>
    <w:p>
      <w:pPr>
        <w:keepNext/>
        <w:keepLines/>
        <w:widowControl/>
        <w:adjustRightInd w:val="0"/>
        <w:snapToGrid w:val="0"/>
        <w:spacing w:line="560" w:lineRule="exact"/>
        <w:jc w:val="center"/>
        <w:outlineLvl w:val="0"/>
        <w:rPr>
          <w:rFonts w:hint="eastAsia" w:ascii="黑体" w:hAnsi="黑体" w:eastAsia="黑体" w:cs="黑体"/>
          <w:bCs/>
          <w:snapToGrid w:val="0"/>
          <w:kern w:val="44"/>
          <w:sz w:val="32"/>
          <w:szCs w:val="32"/>
          <w:u w:val="none"/>
        </w:rPr>
      </w:pPr>
      <w:r>
        <w:rPr>
          <w:rFonts w:hint="eastAsia" w:ascii="黑体" w:hAnsi="黑体" w:eastAsia="黑体" w:cs="黑体"/>
          <w:bCs/>
          <w:snapToGrid w:val="0"/>
          <w:kern w:val="44"/>
          <w:sz w:val="32"/>
          <w:szCs w:val="32"/>
          <w:u w:val="none"/>
        </w:rPr>
        <w:t>现场验收检验内容</w:t>
      </w:r>
    </w:p>
    <w:tbl>
      <w:tblPr>
        <w:tblStyle w:val="9"/>
        <w:tblW w:w="8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270"/>
        <w:gridCol w:w="4230"/>
        <w:gridCol w:w="1470"/>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658" w:type="dxa"/>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序号</w:t>
            </w:r>
          </w:p>
        </w:tc>
        <w:tc>
          <w:tcPr>
            <w:tcW w:w="1270" w:type="dxa"/>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检验项目</w:t>
            </w:r>
          </w:p>
        </w:tc>
        <w:tc>
          <w:tcPr>
            <w:tcW w:w="4230" w:type="dxa"/>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标准要求</w:t>
            </w:r>
          </w:p>
        </w:tc>
        <w:tc>
          <w:tcPr>
            <w:tcW w:w="1470" w:type="dxa"/>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检验依据</w:t>
            </w:r>
          </w:p>
        </w:tc>
        <w:tc>
          <w:tcPr>
            <w:tcW w:w="1097" w:type="dxa"/>
            <w:vAlign w:val="center"/>
          </w:tcPr>
          <w:p>
            <w:pPr>
              <w:jc w:val="center"/>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658"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rPr>
              <w:t>1</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1</w:t>
            </w:r>
          </w:p>
        </w:tc>
        <w:tc>
          <w:tcPr>
            <w:tcW w:w="1270" w:type="dxa"/>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充电设备</w:t>
            </w:r>
            <w:r>
              <w:rPr>
                <w:rFonts w:hint="eastAsia" w:ascii="宋体" w:hAnsi="宋体" w:eastAsia="宋体" w:cs="宋体"/>
                <w:sz w:val="20"/>
                <w:szCs w:val="20"/>
              </w:rPr>
              <w:t>合格文件</w:t>
            </w:r>
          </w:p>
        </w:tc>
        <w:tc>
          <w:tcPr>
            <w:tcW w:w="4230" w:type="dxa"/>
            <w:vAlign w:val="center"/>
          </w:tcPr>
          <w:p>
            <w:pPr>
              <w:rPr>
                <w:rFonts w:hint="eastAsia" w:ascii="宋体" w:hAnsi="宋体" w:eastAsia="宋体" w:cs="宋体"/>
                <w:sz w:val="20"/>
                <w:szCs w:val="20"/>
              </w:rPr>
            </w:pPr>
            <w:r>
              <w:rPr>
                <w:rFonts w:hint="eastAsia" w:ascii="宋体" w:hAnsi="宋体" w:eastAsia="宋体" w:cs="宋体"/>
                <w:sz w:val="20"/>
                <w:szCs w:val="20"/>
              </w:rPr>
              <w:t>有CNAS标志的充电设备检测报告</w:t>
            </w:r>
          </w:p>
        </w:tc>
        <w:tc>
          <w:tcPr>
            <w:tcW w:w="1470"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w:t>
            </w:r>
          </w:p>
        </w:tc>
        <w:tc>
          <w:tcPr>
            <w:tcW w:w="1097"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658" w:type="dxa"/>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.1</w:t>
            </w:r>
          </w:p>
        </w:tc>
        <w:tc>
          <w:tcPr>
            <w:tcW w:w="1270"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rPr>
              <w:t>变压器</w:t>
            </w: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rPr>
              <w:t>检查变压器的型号、配置和数量，核对变压器技术参数及实际施工结果与合同、设计图纸等技术文件是否相符</w:t>
            </w:r>
          </w:p>
        </w:tc>
        <w:tc>
          <w:tcPr>
            <w:tcW w:w="1470" w:type="dxa"/>
            <w:vMerge w:val="restart"/>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 xml:space="preserve">NB/T 33004-2020 </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658" w:type="dxa"/>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.2</w:t>
            </w:r>
          </w:p>
        </w:tc>
        <w:tc>
          <w:tcPr>
            <w:tcW w:w="1270"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变流柜及</w:t>
            </w:r>
            <w:r>
              <w:rPr>
                <w:rFonts w:hint="eastAsia" w:ascii="宋体" w:hAnsi="宋体" w:eastAsia="宋体" w:cs="宋体"/>
                <w:sz w:val="20"/>
                <w:szCs w:val="20"/>
              </w:rPr>
              <w:t>控制柜等盘柜</w:t>
            </w: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rPr>
              <w:t>检查供电系统盘柜的型号、配置和数量，核对盘柜技术参数及实施施工结果与合同、设计图纸等技术文件是否相符</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6" w:hRule="atLeast"/>
          <w:jc w:val="center"/>
        </w:trPr>
        <w:tc>
          <w:tcPr>
            <w:tcW w:w="658" w:type="dxa"/>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.3</w:t>
            </w:r>
          </w:p>
        </w:tc>
        <w:tc>
          <w:tcPr>
            <w:tcW w:w="1270"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highlight w:val="none"/>
              </w:rPr>
              <w:t>低压配</w:t>
            </w:r>
            <w:r>
              <w:rPr>
                <w:rFonts w:hint="eastAsia" w:ascii="宋体" w:hAnsi="宋体" w:eastAsia="宋体" w:cs="宋体"/>
                <w:sz w:val="20"/>
                <w:szCs w:val="20"/>
                <w:highlight w:val="none"/>
                <w:lang w:val="en-US" w:eastAsia="zh-CN"/>
              </w:rPr>
              <w:t>线</w:t>
            </w: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rPr>
              <w:t>检查低压配线的接线盒相序、配电设备布置、配电线路保护、配电线路的敷设等，核对配电设备技术参数及实施施工结果与图纸是否相符</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658" w:type="dxa"/>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.4</w:t>
            </w:r>
          </w:p>
        </w:tc>
        <w:tc>
          <w:tcPr>
            <w:tcW w:w="1270"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rPr>
              <w:t>电缆</w:t>
            </w: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rPr>
              <w:t>检查电缆的型号、配置和参数，核对电缆技术参数及实际施工结果与合同、设计图纸等技术文件是否相符</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.5</w:t>
            </w:r>
          </w:p>
        </w:tc>
        <w:tc>
          <w:tcPr>
            <w:tcW w:w="1270"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rPr>
              <w:t>防雷接地</w:t>
            </w: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rPr>
              <w:t>检查供电系统电气装置的防雷和接地，核对实际施工结果与设计图纸是否相符</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.1</w:t>
            </w:r>
          </w:p>
        </w:tc>
        <w:tc>
          <w:tcPr>
            <w:tcW w:w="1270" w:type="dxa"/>
            <w:vMerge w:val="restart"/>
            <w:vAlign w:val="center"/>
          </w:tcPr>
          <w:p>
            <w:pPr>
              <w:jc w:val="center"/>
              <w:rPr>
                <w:rFonts w:hint="eastAsia" w:ascii="宋体" w:hAnsi="宋体" w:eastAsia="宋体" w:cs="宋体"/>
                <w:sz w:val="20"/>
                <w:szCs w:val="20"/>
              </w:rPr>
            </w:pPr>
            <w:r>
              <w:rPr>
                <w:rFonts w:hint="eastAsia" w:ascii="宋体" w:hAnsi="宋体" w:eastAsia="宋体" w:cs="宋体"/>
                <w:kern w:val="2"/>
                <w:sz w:val="20"/>
                <w:szCs w:val="20"/>
                <w:lang w:val="en-US" w:eastAsia="zh-CN" w:bidi="ar-SA"/>
              </w:rPr>
              <w:t>工程施工</w:t>
            </w: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充电设备安装应牢固，设备供电电缆型号、规格及主电路电缆的长度应符合设计要求</w:t>
            </w:r>
          </w:p>
        </w:tc>
        <w:tc>
          <w:tcPr>
            <w:tcW w:w="1470" w:type="dxa"/>
            <w:vMerge w:val="restart"/>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NB/T 33004-2020</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kern w:val="2"/>
                <w:sz w:val="20"/>
                <w:szCs w:val="20"/>
                <w:lang w:val="en-US" w:eastAsia="zh-CN" w:bidi="ar-SA"/>
              </w:rPr>
            </w:pP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二次回路应接线正确，接线端子应牢固，回路编号应正确、清晰</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kern w:val="2"/>
                <w:sz w:val="20"/>
                <w:szCs w:val="20"/>
                <w:lang w:val="en-US" w:eastAsia="zh-CN" w:bidi="ar-SA"/>
              </w:rPr>
            </w:pP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充电设备安装好后电缆沟（管）应采用防火材料可靠封堵</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kern w:val="2"/>
                <w:sz w:val="20"/>
                <w:szCs w:val="20"/>
                <w:lang w:val="en-US" w:eastAsia="zh-CN" w:bidi="ar-SA"/>
              </w:rPr>
            </w:pP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充电设备安装高度应保证电气连接和人机交互操作方便，并采取必要的防盗、防撞、防恶意破坏措施</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kern w:val="2"/>
                <w:sz w:val="20"/>
                <w:szCs w:val="20"/>
                <w:lang w:val="en-US" w:eastAsia="zh-CN" w:bidi="ar-SA"/>
              </w:rPr>
            </w:pP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充电设备的布置应预留设备维护检修空间</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kern w:val="2"/>
                <w:sz w:val="20"/>
                <w:szCs w:val="20"/>
                <w:lang w:val="en-US" w:eastAsia="zh-CN" w:bidi="ar-SA"/>
              </w:rPr>
            </w:pPr>
          </w:p>
        </w:tc>
        <w:tc>
          <w:tcPr>
            <w:tcW w:w="4230" w:type="dxa"/>
            <w:vAlign w:val="center"/>
          </w:tcPr>
          <w:p>
            <w:pPr>
              <w:keepNext w:val="0"/>
              <w:keepLines w:val="0"/>
              <w:widowControl/>
              <w:suppressLineNumbers w:val="0"/>
              <w:jc w:val="left"/>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保护接地端子应可靠接地</w:t>
            </w:r>
          </w:p>
        </w:tc>
        <w:tc>
          <w:tcPr>
            <w:tcW w:w="1470"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GB 50966-2014</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.2</w:t>
            </w:r>
          </w:p>
        </w:tc>
        <w:tc>
          <w:tcPr>
            <w:tcW w:w="1270" w:type="dxa"/>
            <w:vAlign w:val="center"/>
          </w:tcPr>
          <w:p>
            <w:pPr>
              <w:jc w:val="center"/>
              <w:rPr>
                <w:rFonts w:hint="eastAsia" w:ascii="宋体" w:hAnsi="宋体" w:eastAsia="宋体" w:cs="宋体"/>
                <w:sz w:val="20"/>
                <w:szCs w:val="20"/>
              </w:rPr>
            </w:pPr>
            <w:r>
              <w:rPr>
                <w:rFonts w:hint="eastAsia" w:ascii="宋体" w:hAnsi="宋体" w:eastAsia="宋体" w:cs="宋体"/>
                <w:kern w:val="2"/>
                <w:sz w:val="20"/>
                <w:szCs w:val="20"/>
                <w:lang w:val="en-US" w:eastAsia="zh-CN" w:bidi="ar-SA"/>
              </w:rPr>
              <w:t>标识和说明</w:t>
            </w:r>
          </w:p>
        </w:tc>
        <w:tc>
          <w:tcPr>
            <w:tcW w:w="4230" w:type="dxa"/>
            <w:vAlign w:val="center"/>
          </w:tcPr>
          <w:p>
            <w:pPr>
              <w:rPr>
                <w:rFonts w:hint="eastAsia" w:ascii="宋体" w:hAnsi="宋体" w:eastAsia="宋体" w:cs="宋体"/>
                <w:sz w:val="20"/>
                <w:szCs w:val="20"/>
              </w:rPr>
            </w:pPr>
            <w:r>
              <w:rPr>
                <w:rFonts w:hint="eastAsia" w:ascii="宋体" w:hAnsi="宋体" w:eastAsia="宋体" w:cs="宋体"/>
                <w:sz w:val="20"/>
                <w:szCs w:val="20"/>
                <w:lang w:val="en-US" w:eastAsia="zh-CN"/>
              </w:rPr>
              <w:t>供电设备应清晰标识以下内容：公司名称、简称、商标或可识别制造商的独特标识；设备编号、产品型号；序列号或生产批次号；生产日期；额定输出电压（V）和额定输出电流（A）；额定输入交流（AC）或直流（DC）；室内使用或室外使用</w:t>
            </w:r>
          </w:p>
        </w:tc>
        <w:tc>
          <w:tcPr>
            <w:tcW w:w="1470"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 xml:space="preserve">GB/T 18487.1-2015  </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.3</w:t>
            </w:r>
          </w:p>
        </w:tc>
        <w:tc>
          <w:tcPr>
            <w:tcW w:w="1270" w:type="dxa"/>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交流充电桩</w:t>
            </w:r>
          </w:p>
        </w:tc>
        <w:tc>
          <w:tcPr>
            <w:tcW w:w="4230" w:type="dxa"/>
            <w:vAlign w:val="center"/>
          </w:tcPr>
          <w:p>
            <w:pPr>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桩体应在醒目位置标识操作说明文字及图形</w:t>
            </w:r>
          </w:p>
        </w:tc>
        <w:tc>
          <w:tcPr>
            <w:tcW w:w="1470" w:type="dxa"/>
            <w:vMerge w:val="restart"/>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 xml:space="preserve">NB/T 33004-2020 </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检查交流充电桩的型号、配置和数量，按照合同和技术协议等文件进行验收</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基本构成、结构、标志与标识、技术参数：检查交流充电桩图纸与实物，核对充电技术参数，按照合同和技术协议等相关文件验收</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充电控制导引、通信功能、电子锁止功能、人机交互功能、计量功能、急停功能、保护功能按照合同和技术协议等相关文件验收</w:t>
            </w:r>
          </w:p>
        </w:tc>
        <w:tc>
          <w:tcPr>
            <w:tcW w:w="1470" w:type="dxa"/>
            <w:vMerge w:val="continue"/>
            <w:vAlign w:val="center"/>
          </w:tcPr>
          <w:p>
            <w:pPr>
              <w:keepNext w:val="0"/>
              <w:keepLines w:val="0"/>
              <w:widowControl/>
              <w:suppressLineNumbers w:val="0"/>
              <w:jc w:val="center"/>
              <w:rPr>
                <w:rFonts w:hint="eastAsia" w:ascii="宋体" w:hAnsi="宋体" w:eastAsia="宋体" w:cs="宋体"/>
                <w:kern w:val="2"/>
                <w:sz w:val="20"/>
                <w:szCs w:val="20"/>
                <w:lang w:val="en-US" w:eastAsia="zh-CN" w:bidi="ar-SA"/>
              </w:rPr>
            </w:pPr>
          </w:p>
        </w:tc>
        <w:tc>
          <w:tcPr>
            <w:tcW w:w="1097" w:type="dxa"/>
            <w:vAlign w:val="center"/>
          </w:tcPr>
          <w:p>
            <w:pPr>
              <w:keepNext w:val="0"/>
              <w:keepLines w:val="0"/>
              <w:widowControl/>
              <w:suppressLineNumbers w:val="0"/>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能显示各状态下的相关信息，包括运行状态、充电电量和计费信息</w:t>
            </w:r>
          </w:p>
        </w:tc>
        <w:tc>
          <w:tcPr>
            <w:tcW w:w="1470" w:type="dxa"/>
            <w:vMerge w:val="restart"/>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 xml:space="preserve">GB 50966-2014 </w:t>
            </w:r>
          </w:p>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 xml:space="preserve"> </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具备急停开关，在充电过程中可使用该装置紧急切断输输出电源</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检查充电连接器的结构、物理尺寸、端子定义</w:t>
            </w:r>
          </w:p>
        </w:tc>
        <w:tc>
          <w:tcPr>
            <w:tcW w:w="1470" w:type="dxa"/>
            <w:vMerge w:val="restart"/>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NB/T 33004-2020</w:t>
            </w:r>
          </w:p>
        </w:tc>
        <w:tc>
          <w:tcPr>
            <w:tcW w:w="1097" w:type="dxa"/>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检查交流充电桩的防雷接地</w:t>
            </w:r>
          </w:p>
        </w:tc>
        <w:tc>
          <w:tcPr>
            <w:tcW w:w="1470" w:type="dxa"/>
            <w:vMerge w:val="continue"/>
            <w:vAlign w:val="center"/>
          </w:tcPr>
          <w:p>
            <w:pPr>
              <w:jc w:val="center"/>
              <w:rPr>
                <w:rFonts w:hint="eastAsia" w:ascii="宋体" w:hAnsi="宋体" w:eastAsia="宋体" w:cs="宋体"/>
                <w:sz w:val="20"/>
                <w:szCs w:val="20"/>
                <w:lang w:val="en-US" w:eastAsia="zh-CN"/>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b w:val="0"/>
                <w:bCs w:val="0"/>
                <w:color w:val="auto"/>
                <w:kern w:val="2"/>
                <w:sz w:val="20"/>
                <w:szCs w:val="20"/>
                <w:lang w:val="en-US" w:eastAsia="zh-CN" w:bidi="ar-SA"/>
              </w:rPr>
            </w:pPr>
            <w:r>
              <w:rPr>
                <w:rFonts w:hint="eastAsia" w:ascii="宋体" w:hAnsi="宋体" w:eastAsia="宋体" w:cs="宋体"/>
                <w:b w:val="0"/>
                <w:bCs w:val="0"/>
                <w:color w:val="auto"/>
                <w:sz w:val="20"/>
                <w:szCs w:val="20"/>
                <w:lang w:val="en-US" w:eastAsia="zh-CN"/>
              </w:rPr>
              <w:t>剩余电流保护器</w:t>
            </w:r>
          </w:p>
        </w:tc>
        <w:tc>
          <w:tcPr>
            <w:tcW w:w="1470" w:type="dxa"/>
            <w:vAlign w:val="center"/>
          </w:tcPr>
          <w:p>
            <w:pPr>
              <w:keepNext w:val="0"/>
              <w:keepLines w:val="0"/>
              <w:widowControl/>
              <w:suppressLineNumbers w:val="0"/>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GB/T 18487.1-2015</w:t>
            </w:r>
          </w:p>
        </w:tc>
        <w:tc>
          <w:tcPr>
            <w:tcW w:w="1097" w:type="dxa"/>
            <w:vAlign w:val="center"/>
          </w:tcPr>
          <w:p>
            <w:pPr>
              <w:keepNext w:val="0"/>
              <w:keepLines w:val="0"/>
              <w:widowControl/>
              <w:suppressLineNumbers w:val="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pStyle w:val="25"/>
              <w:numPr>
                <w:ilvl w:val="0"/>
                <w:numId w:val="0"/>
              </w:numPr>
              <w:rPr>
                <w:rFonts w:hint="eastAsia" w:ascii="宋体" w:hAnsi="宋体" w:eastAsia="宋体" w:cs="宋体"/>
                <w:b w:val="0"/>
                <w:bCs w:val="0"/>
                <w:color w:val="auto"/>
                <w:kern w:val="2"/>
                <w:sz w:val="20"/>
                <w:szCs w:val="20"/>
                <w:lang w:val="en-US" w:eastAsia="zh-CN" w:bidi="ar-SA"/>
              </w:rPr>
            </w:pPr>
            <w:r>
              <w:rPr>
                <w:rFonts w:hint="eastAsia" w:ascii="宋体" w:hAnsi="宋体" w:eastAsia="宋体" w:cs="宋体"/>
                <w:b w:val="0"/>
                <w:bCs w:val="0"/>
                <w:color w:val="auto"/>
                <w:sz w:val="20"/>
                <w:szCs w:val="20"/>
                <w:lang w:val="zh-CN" w:eastAsia="zh-CN"/>
              </w:rPr>
              <w:t>充电连接控制时序测试</w:t>
            </w:r>
          </w:p>
        </w:tc>
        <w:tc>
          <w:tcPr>
            <w:tcW w:w="1470" w:type="dxa"/>
            <w:vMerge w:val="restart"/>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GB/T 34657.1-2017</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pStyle w:val="26"/>
              <w:numPr>
                <w:ilvl w:val="0"/>
                <w:numId w:val="0"/>
              </w:numPr>
              <w:tabs>
                <w:tab w:val="left" w:pos="851"/>
                <w:tab w:val="clear" w:pos="840"/>
                <w:tab w:val="clear" w:pos="902"/>
              </w:tabs>
              <w:rPr>
                <w:rFonts w:hint="eastAsia" w:ascii="宋体" w:hAnsi="宋体" w:eastAsia="宋体" w:cs="宋体"/>
                <w:b w:val="0"/>
                <w:bCs w:val="0"/>
                <w:color w:val="auto"/>
                <w:kern w:val="2"/>
                <w:sz w:val="20"/>
                <w:szCs w:val="20"/>
                <w:lang w:val="en-US" w:eastAsia="zh-CN" w:bidi="ar-SA"/>
              </w:rPr>
            </w:pPr>
            <w:r>
              <w:rPr>
                <w:rFonts w:hint="eastAsia" w:ascii="宋体" w:hAnsi="宋体" w:eastAsia="宋体" w:cs="宋体"/>
                <w:b w:val="0"/>
                <w:bCs w:val="0"/>
                <w:color w:val="auto"/>
                <w:sz w:val="20"/>
                <w:szCs w:val="20"/>
              </w:rPr>
              <w:t>CP接地测试</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.4</w:t>
            </w:r>
          </w:p>
        </w:tc>
        <w:tc>
          <w:tcPr>
            <w:tcW w:w="1270" w:type="dxa"/>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非车载充电机（直流充电桩）</w:t>
            </w:r>
          </w:p>
        </w:tc>
        <w:tc>
          <w:tcPr>
            <w:tcW w:w="4230" w:type="dxa"/>
            <w:vAlign w:val="center"/>
          </w:tcPr>
          <w:p>
            <w:pPr>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桩体应在醒目位置标识操作说明文字及图形</w:t>
            </w:r>
          </w:p>
        </w:tc>
        <w:tc>
          <w:tcPr>
            <w:tcW w:w="1470" w:type="dxa"/>
            <w:vMerge w:val="restart"/>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 xml:space="preserve">NB/T 33004-2020 </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检查非车载充电机的型号、配置和数量，按照合同和技术协议等文件进行验收</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基本构成、结构、标志与标识、技术参数：检查非车载充电机图纸与实物，核对充电技术参数，按照合同和技术协议等相关文件验收</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充电控制功能、通信功能、绝缘检测功能、电子锁止功能、人机交互功能、计量功能、急停功能、保护功能按照合同和技术协议等相关文件验收</w:t>
            </w:r>
          </w:p>
        </w:tc>
        <w:tc>
          <w:tcPr>
            <w:tcW w:w="1470" w:type="dxa"/>
            <w:vMerge w:val="continue"/>
            <w:vAlign w:val="center"/>
          </w:tcPr>
          <w:p>
            <w:pPr>
              <w:keepNext w:val="0"/>
              <w:keepLines w:val="0"/>
              <w:widowControl/>
              <w:suppressLineNumbers w:val="0"/>
              <w:jc w:val="center"/>
              <w:rPr>
                <w:rFonts w:hint="eastAsia" w:ascii="宋体" w:hAnsi="宋体" w:eastAsia="宋体" w:cs="宋体"/>
                <w:kern w:val="2"/>
                <w:sz w:val="20"/>
                <w:szCs w:val="20"/>
                <w:lang w:val="en-US" w:eastAsia="zh-CN" w:bidi="ar-SA"/>
              </w:rPr>
            </w:pPr>
          </w:p>
        </w:tc>
        <w:tc>
          <w:tcPr>
            <w:tcW w:w="1097" w:type="dxa"/>
            <w:vAlign w:val="center"/>
          </w:tcPr>
          <w:p>
            <w:pPr>
              <w:keepNext w:val="0"/>
              <w:keepLines w:val="0"/>
              <w:widowControl/>
              <w:suppressLineNumbers w:val="0"/>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具有待机、充电、充满等状态的指示，能够显示输出电压、 输出电流、电能量等信息，故障时应有相应的告警信息</w:t>
            </w:r>
          </w:p>
        </w:tc>
        <w:tc>
          <w:tcPr>
            <w:tcW w:w="1470" w:type="dxa"/>
            <w:vMerge w:val="restart"/>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 xml:space="preserve">GB 50966-2014 </w:t>
            </w:r>
          </w:p>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 xml:space="preserve"> </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具备本地和远程紧急停机功能，紧急、停机后系统不应自动复位</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检查充电连接器的结构、物理尺寸、端子定义</w:t>
            </w:r>
          </w:p>
        </w:tc>
        <w:tc>
          <w:tcPr>
            <w:tcW w:w="1470" w:type="dxa"/>
            <w:vMerge w:val="restart"/>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NB/T 33004-2020</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keepNext w:val="0"/>
              <w:keepLines w:val="0"/>
              <w:widowControl/>
              <w:suppressLineNumbers w:val="0"/>
              <w:jc w:val="left"/>
              <w:rPr>
                <w:rFonts w:hint="eastAsia" w:ascii="宋体" w:hAnsi="宋体" w:eastAsia="宋体" w:cs="宋体"/>
                <w:color w:val="auto"/>
                <w:kern w:val="2"/>
                <w:sz w:val="20"/>
                <w:szCs w:val="20"/>
                <w:lang w:val="en-US" w:eastAsia="zh-CN" w:bidi="ar-SA"/>
              </w:rPr>
            </w:pPr>
            <w:r>
              <w:rPr>
                <w:rFonts w:hint="eastAsia" w:ascii="宋体" w:hAnsi="宋体" w:eastAsia="宋体" w:cs="宋体"/>
                <w:color w:val="auto"/>
                <w:sz w:val="20"/>
                <w:szCs w:val="20"/>
                <w:lang w:val="en-US" w:eastAsia="zh-CN"/>
              </w:rPr>
              <w:t>检查非车载充电机的防雷接地</w:t>
            </w:r>
          </w:p>
        </w:tc>
        <w:tc>
          <w:tcPr>
            <w:tcW w:w="1470" w:type="dxa"/>
            <w:vMerge w:val="continue"/>
            <w:vAlign w:val="center"/>
          </w:tcPr>
          <w:p>
            <w:pPr>
              <w:jc w:val="center"/>
              <w:rPr>
                <w:rFonts w:hint="eastAsia" w:ascii="宋体" w:hAnsi="宋体" w:eastAsia="宋体" w:cs="宋体"/>
                <w:sz w:val="20"/>
                <w:szCs w:val="20"/>
                <w:lang w:val="en-US" w:eastAsia="zh-CN"/>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kern w:val="2"/>
                <w:sz w:val="20"/>
                <w:szCs w:val="20"/>
                <w:lang w:val="en-US" w:eastAsia="zh-CN" w:bidi="ar-SA"/>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pStyle w:val="25"/>
              <w:numPr>
                <w:ilvl w:val="0"/>
                <w:numId w:val="0"/>
              </w:numPr>
              <w:ind w:left="0" w:leftChars="0" w:firstLine="0" w:firstLineChars="0"/>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sz w:val="20"/>
                <w:szCs w:val="20"/>
              </w:rPr>
              <w:t>充电连接控制时序测试</w:t>
            </w:r>
          </w:p>
        </w:tc>
        <w:tc>
          <w:tcPr>
            <w:tcW w:w="1470" w:type="dxa"/>
            <w:vMerge w:val="restart"/>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GB/T 34657.1-2017</w:t>
            </w: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 w:hRule="atLeas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pStyle w:val="27"/>
              <w:numPr>
                <w:ilvl w:val="0"/>
                <w:numId w:val="0"/>
              </w:numPr>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sz w:val="20"/>
                <w:szCs w:val="20"/>
              </w:rPr>
              <w:t>车辆接口断开测试</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pStyle w:val="27"/>
              <w:numPr>
                <w:ilvl w:val="0"/>
                <w:numId w:val="0"/>
              </w:numPr>
              <w:rPr>
                <w:rFonts w:hint="eastAsia" w:ascii="宋体" w:hAnsi="宋体" w:eastAsia="宋体" w:cs="宋体"/>
                <w:b w:val="0"/>
                <w:bCs w:val="0"/>
                <w:kern w:val="2"/>
                <w:sz w:val="20"/>
                <w:szCs w:val="20"/>
                <w:lang w:val="en-US" w:eastAsia="zh-CN" w:bidi="ar-SA"/>
              </w:rPr>
            </w:pPr>
            <w:r>
              <w:rPr>
                <w:rFonts w:hint="eastAsia" w:ascii="宋体" w:hAnsi="宋体" w:eastAsia="宋体" w:cs="宋体"/>
                <w:b w:val="0"/>
                <w:bCs w:val="0"/>
                <w:sz w:val="20"/>
                <w:szCs w:val="20"/>
                <w:lang w:val="en-US" w:eastAsia="zh-CN"/>
              </w:rPr>
              <w:t>绝缘故障测试</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rPr>
                <w:rFonts w:hint="eastAsia" w:ascii="宋体" w:hAnsi="宋体" w:eastAsia="宋体" w:cs="宋体"/>
                <w:b w:val="0"/>
                <w:bCs w:val="0"/>
                <w:color w:val="000000"/>
                <w:spacing w:val="0"/>
                <w:w w:val="100"/>
                <w:kern w:val="2"/>
                <w:position w:val="0"/>
                <w:sz w:val="20"/>
                <w:szCs w:val="20"/>
                <w:lang w:val="en-US" w:eastAsia="zh-CN" w:bidi="en-US"/>
              </w:rPr>
            </w:pPr>
            <w:r>
              <w:rPr>
                <w:rFonts w:hint="eastAsia" w:ascii="宋体" w:hAnsi="宋体" w:eastAsia="宋体" w:cs="宋体"/>
                <w:b w:val="0"/>
                <w:bCs w:val="0"/>
                <w:sz w:val="20"/>
                <w:szCs w:val="20"/>
              </w:rPr>
              <w:t>通信协议一致性DP.3003</w:t>
            </w:r>
            <w:r>
              <w:rPr>
                <w:rFonts w:hint="eastAsia" w:ascii="宋体" w:hAnsi="宋体" w:eastAsia="宋体" w:cs="宋体"/>
                <w:b w:val="0"/>
                <w:bCs w:val="0"/>
                <w:sz w:val="20"/>
                <w:szCs w:val="20"/>
                <w:lang w:eastAsia="zh-CN"/>
              </w:rPr>
              <w:t>（</w:t>
            </w:r>
            <w:r>
              <w:rPr>
                <w:rFonts w:hint="eastAsia" w:ascii="宋体" w:hAnsi="宋体" w:eastAsia="宋体" w:cs="宋体"/>
                <w:b w:val="0"/>
                <w:bCs w:val="0"/>
                <w:sz w:val="20"/>
                <w:szCs w:val="20"/>
                <w:lang w:val="en-US" w:eastAsia="zh-CN"/>
              </w:rPr>
              <w:t>过温过流过压等</w:t>
            </w:r>
            <w:r>
              <w:rPr>
                <w:rFonts w:hint="eastAsia" w:ascii="宋体" w:hAnsi="宋体" w:eastAsia="宋体" w:cs="宋体"/>
                <w:b w:val="0"/>
                <w:bCs w:val="0"/>
                <w:sz w:val="20"/>
                <w:szCs w:val="20"/>
                <w:lang w:eastAsia="zh-CN"/>
              </w:rPr>
              <w:t>）</w:t>
            </w:r>
          </w:p>
        </w:tc>
        <w:tc>
          <w:tcPr>
            <w:tcW w:w="1470" w:type="dxa"/>
            <w:vMerge w:val="continue"/>
            <w:vAlign w:val="center"/>
          </w:tcPr>
          <w:p>
            <w:pPr>
              <w:jc w:val="center"/>
              <w:rPr>
                <w:rFonts w:hint="eastAsia" w:ascii="宋体" w:hAnsi="宋体" w:eastAsia="宋体" w:cs="宋体"/>
                <w:kern w:val="2"/>
                <w:sz w:val="20"/>
                <w:szCs w:val="20"/>
                <w:lang w:val="en-US" w:eastAsia="zh-CN" w:bidi="ar-SA"/>
              </w:rPr>
            </w:pPr>
          </w:p>
        </w:tc>
        <w:tc>
          <w:tcPr>
            <w:tcW w:w="1097" w:type="dxa"/>
            <w:vAlign w:val="center"/>
          </w:tcPr>
          <w:p>
            <w:pPr>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.1</w:t>
            </w:r>
          </w:p>
        </w:tc>
        <w:tc>
          <w:tcPr>
            <w:tcW w:w="1270" w:type="dxa"/>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充电监控</w:t>
            </w: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采集非车载充电机工作状态、功率、电压、电流和电能量</w:t>
            </w:r>
          </w:p>
        </w:tc>
        <w:tc>
          <w:tcPr>
            <w:tcW w:w="1470" w:type="dxa"/>
            <w:vMerge w:val="restart"/>
            <w:vAlign w:val="center"/>
          </w:tcPr>
          <w:p>
            <w:pPr>
              <w:jc w:val="cente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GB 50966-2014</w:t>
            </w:r>
          </w:p>
        </w:tc>
        <w:tc>
          <w:tcPr>
            <w:tcW w:w="1097" w:type="dxa"/>
            <w:vAlign w:val="center"/>
          </w:tcPr>
          <w:p>
            <w:pPr>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8" w:type="dxa"/>
            <w:vMerge w:val="continue"/>
            <w:vAlign w:val="center"/>
          </w:tcPr>
          <w:p>
            <w:pPr>
              <w:jc w:val="center"/>
              <w:rPr>
                <w:rFonts w:hint="eastAsia" w:ascii="宋体" w:hAnsi="宋体" w:eastAsia="宋体" w:cs="宋体"/>
                <w:sz w:val="20"/>
                <w:szCs w:val="20"/>
              </w:rPr>
            </w:pPr>
          </w:p>
        </w:tc>
        <w:tc>
          <w:tcPr>
            <w:tcW w:w="1270" w:type="dxa"/>
            <w:vMerge w:val="continue"/>
            <w:vAlign w:val="center"/>
          </w:tcPr>
          <w:p>
            <w:pPr>
              <w:jc w:val="center"/>
              <w:rPr>
                <w:rFonts w:hint="eastAsia" w:ascii="宋体" w:hAnsi="宋体" w:eastAsia="宋体" w:cs="宋体"/>
                <w:sz w:val="20"/>
                <w:szCs w:val="20"/>
              </w:rPr>
            </w:pPr>
          </w:p>
        </w:tc>
        <w:tc>
          <w:tcPr>
            <w:tcW w:w="4230" w:type="dxa"/>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sz w:val="20"/>
                <w:szCs w:val="20"/>
                <w:lang w:val="en-US" w:eastAsia="zh-CN"/>
              </w:rPr>
              <w:t>采集交流充电样的工作状态、电压、电流和电能量</w:t>
            </w:r>
          </w:p>
        </w:tc>
        <w:tc>
          <w:tcPr>
            <w:tcW w:w="1470" w:type="dxa"/>
            <w:vMerge w:val="continue"/>
            <w:vAlign w:val="center"/>
          </w:tcPr>
          <w:p>
            <w:pPr>
              <w:rPr>
                <w:rFonts w:hint="eastAsia" w:ascii="宋体" w:hAnsi="宋体" w:eastAsia="宋体" w:cs="宋体"/>
                <w:sz w:val="20"/>
                <w:szCs w:val="20"/>
                <w:lang w:val="en-US" w:eastAsia="zh-CN"/>
              </w:rPr>
            </w:pPr>
          </w:p>
        </w:tc>
        <w:tc>
          <w:tcPr>
            <w:tcW w:w="1097" w:type="dxa"/>
            <w:vAlign w:val="center"/>
          </w:tcPr>
          <w:p>
            <w:pPr>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检查</w:t>
            </w:r>
          </w:p>
        </w:tc>
      </w:tr>
    </w:tbl>
    <w:p>
      <w:pPr>
        <w:pStyle w:val="2"/>
        <w:jc w:val="both"/>
        <w:rPr>
          <w:rFonts w:hint="default"/>
          <w:lang w:val="en-US" w:eastAsia="zh-CN"/>
        </w:rPr>
        <w:sectPr>
          <w:headerReference r:id="rId4" w:type="default"/>
          <w:footerReference r:id="rId5" w:type="default"/>
          <w:pgSz w:w="11906" w:h="16838"/>
          <w:pgMar w:top="1440" w:right="1800" w:bottom="1440" w:left="1800" w:header="851" w:footer="992" w:gutter="0"/>
          <w:pgNumType w:fmt="decimal"/>
          <w:cols w:space="720" w:num="1"/>
          <w:docGrid w:type="lines" w:linePitch="312" w:charSpace="0"/>
        </w:sectPr>
      </w:pPr>
    </w:p>
    <w:p>
      <w:pPr>
        <w:keepNext/>
        <w:keepLines/>
        <w:widowControl/>
        <w:adjustRightInd w:val="0"/>
        <w:snapToGrid w:val="0"/>
        <w:spacing w:line="560" w:lineRule="exact"/>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附件</w:t>
      </w:r>
      <w:r>
        <w:rPr>
          <w:rFonts w:hint="eastAsia" w:ascii="黑体" w:hAnsi="黑体" w:eastAsia="黑体" w:cs="黑体"/>
          <w:bCs/>
          <w:snapToGrid w:val="0"/>
          <w:kern w:val="44"/>
          <w:sz w:val="32"/>
          <w:szCs w:val="32"/>
          <w:lang w:val="en-US" w:eastAsia="zh-CN"/>
        </w:rPr>
        <w:t>2-2</w:t>
      </w:r>
      <w:r>
        <w:rPr>
          <w:rFonts w:hint="eastAsia" w:ascii="黑体" w:hAnsi="黑体" w:eastAsia="黑体" w:cs="黑体"/>
          <w:bCs/>
          <w:snapToGrid w:val="0"/>
          <w:kern w:val="44"/>
          <w:sz w:val="32"/>
          <w:szCs w:val="32"/>
        </w:rPr>
        <w:t xml:space="preserve"> </w:t>
      </w:r>
    </w:p>
    <w:p>
      <w:pPr>
        <w:keepNext/>
        <w:keepLines/>
        <w:widowControl/>
        <w:adjustRightInd w:val="0"/>
        <w:snapToGrid w:val="0"/>
        <w:spacing w:line="560" w:lineRule="exact"/>
        <w:jc w:val="center"/>
        <w:rPr>
          <w:rFonts w:ascii="黑体" w:hAnsi="黑体" w:eastAsia="黑体" w:cs="黑体"/>
          <w:bCs/>
          <w:snapToGrid w:val="0"/>
          <w:kern w:val="32"/>
          <w:sz w:val="32"/>
          <w:szCs w:val="32"/>
        </w:rPr>
      </w:pPr>
    </w:p>
    <w:p>
      <w:pPr>
        <w:keepNext/>
        <w:keepLines/>
        <w:widowControl/>
        <w:adjustRightInd w:val="0"/>
        <w:snapToGrid w:val="0"/>
        <w:spacing w:line="560" w:lineRule="exact"/>
        <w:jc w:val="center"/>
        <w:outlineLvl w:val="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关于充电设施可为公务用车及职工自有电动汽车使用的</w:t>
      </w:r>
    </w:p>
    <w:p>
      <w:pPr>
        <w:keepNext/>
        <w:keepLines/>
        <w:widowControl/>
        <w:adjustRightInd w:val="0"/>
        <w:snapToGrid w:val="0"/>
        <w:spacing w:line="560" w:lineRule="exact"/>
        <w:jc w:val="center"/>
        <w:outlineLvl w:val="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说明</w:t>
      </w:r>
    </w:p>
    <w:p>
      <w:pPr>
        <w:jc w:val="center"/>
        <w:rPr>
          <w:rFonts w:ascii="宋体" w:hAnsi="宋体" w:eastAsia="黑体" w:cs="Times New Roman"/>
          <w:snapToGrid w:val="0"/>
          <w:kern w:val="32"/>
          <w:sz w:val="36"/>
          <w:szCs w:val="32"/>
        </w:rPr>
      </w:pPr>
    </w:p>
    <w:p>
      <w:pPr>
        <w:ind w:firstLine="640" w:firstLineChars="200"/>
        <w:rPr>
          <w:rFonts w:ascii="仿宋_GB2312" w:hAnsi="仿宋_GB2312" w:eastAsia="仿宋_GB2312" w:cs="仿宋_GB2312"/>
          <w:snapToGrid w:val="0"/>
          <w:kern w:val="32"/>
          <w:sz w:val="32"/>
          <w:szCs w:val="32"/>
        </w:rPr>
      </w:pPr>
      <w:r>
        <w:rPr>
          <w:rFonts w:hint="eastAsia" w:ascii="仿宋_GB2312" w:hAnsi="仿宋_GB2312" w:eastAsia="仿宋_GB2312" w:cs="仿宋_GB2312"/>
          <w:snapToGrid w:val="0"/>
          <w:kern w:val="32"/>
          <w:sz w:val="32"/>
          <w:szCs w:val="32"/>
          <w:u w:val="single"/>
        </w:rPr>
        <w:t xml:space="preserve">             （产权单位）</w:t>
      </w:r>
      <w:r>
        <w:rPr>
          <w:rFonts w:hint="eastAsia" w:ascii="仿宋_GB2312" w:hAnsi="仿宋_GB2312" w:eastAsia="仿宋_GB2312" w:cs="仿宋_GB2312"/>
          <w:snapToGrid w:val="0"/>
          <w:kern w:val="32"/>
          <w:sz w:val="32"/>
          <w:szCs w:val="32"/>
        </w:rPr>
        <w:t>在</w:t>
      </w:r>
      <w:r>
        <w:rPr>
          <w:rFonts w:hint="eastAsia" w:ascii="仿宋_GB2312" w:hAnsi="仿宋_GB2312" w:eastAsia="仿宋_GB2312" w:cs="仿宋_GB2312"/>
          <w:snapToGrid w:val="0"/>
          <w:kern w:val="32"/>
          <w:sz w:val="32"/>
          <w:szCs w:val="32"/>
          <w:u w:val="single"/>
        </w:rPr>
        <w:t xml:space="preserve">            （充电设施详细地址）</w:t>
      </w:r>
      <w:r>
        <w:rPr>
          <w:rFonts w:hint="eastAsia" w:ascii="仿宋_GB2312" w:hAnsi="仿宋_GB2312" w:eastAsia="仿宋_GB2312" w:cs="仿宋_GB2312"/>
          <w:snapToGrid w:val="0"/>
          <w:kern w:val="32"/>
          <w:sz w:val="32"/>
          <w:szCs w:val="32"/>
        </w:rPr>
        <w:t>投资建设的</w:t>
      </w:r>
      <w:r>
        <w:rPr>
          <w:rFonts w:hint="eastAsia" w:ascii="仿宋_GB2312" w:hAnsi="仿宋_GB2312" w:eastAsia="仿宋_GB2312" w:cs="仿宋_GB2312"/>
          <w:snapToGrid w:val="0"/>
          <w:kern w:val="32"/>
          <w:sz w:val="32"/>
          <w:szCs w:val="32"/>
          <w:u w:val="single"/>
        </w:rPr>
        <w:t xml:space="preserve">    个</w:t>
      </w:r>
      <w:r>
        <w:rPr>
          <w:rFonts w:hint="eastAsia" w:ascii="仿宋_GB2312" w:hAnsi="仿宋_GB2312" w:eastAsia="仿宋_GB2312" w:cs="仿宋_GB2312"/>
          <w:snapToGrid w:val="0"/>
          <w:kern w:val="32"/>
          <w:sz w:val="32"/>
          <w:szCs w:val="32"/>
        </w:rPr>
        <w:t>充电桩（直流桩</w:t>
      </w:r>
      <w:r>
        <w:rPr>
          <w:rFonts w:hint="eastAsia" w:ascii="仿宋_GB2312" w:hAnsi="仿宋_GB2312" w:eastAsia="仿宋_GB2312" w:cs="仿宋_GB2312"/>
          <w:snapToGrid w:val="0"/>
          <w:kern w:val="32"/>
          <w:sz w:val="32"/>
          <w:szCs w:val="32"/>
          <w:u w:val="single"/>
        </w:rPr>
        <w:t xml:space="preserve">   个</w:t>
      </w:r>
      <w:r>
        <w:rPr>
          <w:rFonts w:hint="eastAsia" w:ascii="仿宋_GB2312" w:hAnsi="仿宋_GB2312" w:eastAsia="仿宋_GB2312" w:cs="仿宋_GB2312"/>
          <w:snapToGrid w:val="0"/>
          <w:kern w:val="32"/>
          <w:sz w:val="32"/>
          <w:szCs w:val="32"/>
        </w:rPr>
        <w:t>，交流桩</w:t>
      </w:r>
      <w:r>
        <w:rPr>
          <w:rFonts w:hint="eastAsia" w:ascii="仿宋_GB2312" w:hAnsi="仿宋_GB2312" w:eastAsia="仿宋_GB2312" w:cs="仿宋_GB2312"/>
          <w:snapToGrid w:val="0"/>
          <w:kern w:val="32"/>
          <w:sz w:val="32"/>
          <w:szCs w:val="32"/>
          <w:u w:val="single"/>
        </w:rPr>
        <w:t xml:space="preserve">   个</w:t>
      </w:r>
      <w:r>
        <w:rPr>
          <w:rFonts w:hint="eastAsia" w:ascii="仿宋_GB2312" w:hAnsi="仿宋_GB2312" w:eastAsia="仿宋_GB2312" w:cs="仿宋_GB2312"/>
          <w:snapToGrid w:val="0"/>
          <w:kern w:val="32"/>
          <w:sz w:val="32"/>
          <w:szCs w:val="32"/>
        </w:rPr>
        <w:t xml:space="preserve">），用于 </w:t>
      </w:r>
      <w:r>
        <w:rPr>
          <w:rFonts w:hint="eastAsia" w:ascii="仿宋_GB2312" w:hAnsi="仿宋_GB2312" w:eastAsia="仿宋_GB2312" w:cs="仿宋_GB2312"/>
          <w:snapToGrid w:val="0"/>
          <w:kern w:val="32"/>
          <w:sz w:val="32"/>
          <w:szCs w:val="32"/>
          <w:u w:val="single"/>
        </w:rPr>
        <w:t xml:space="preserve">            （使用单位）</w:t>
      </w:r>
      <w:r>
        <w:rPr>
          <w:rFonts w:hint="eastAsia" w:ascii="仿宋_GB2312" w:hAnsi="仿宋_GB2312" w:eastAsia="仿宋_GB2312" w:cs="仿宋_GB2312"/>
          <w:snapToGrid w:val="0"/>
          <w:kern w:val="32"/>
          <w:sz w:val="32"/>
          <w:szCs w:val="32"/>
        </w:rPr>
        <w:t>公务用车/职工自有电动汽车使用。该充电站</w:t>
      </w:r>
      <w:r>
        <w:rPr>
          <w:rFonts w:hint="eastAsia" w:ascii="仿宋_GB2312" w:hAnsi="仿宋_GB2312" w:eastAsia="仿宋_GB2312" w:cs="仿宋_GB2312"/>
          <w:snapToGrid w:val="0"/>
          <w:kern w:val="32"/>
          <w:sz w:val="32"/>
          <w:szCs w:val="32"/>
          <w:u w:val="single"/>
        </w:rPr>
        <w:t xml:space="preserve"> 选择填写</w:t>
      </w:r>
      <w:r>
        <w:rPr>
          <w:rFonts w:hint="eastAsia" w:ascii="仿宋_GB2312" w:hAnsi="仿宋_GB2312" w:eastAsia="仿宋_GB2312" w:cs="仿宋_GB2312"/>
          <w:snapToGrid w:val="0"/>
          <w:kern w:val="32"/>
          <w:sz w:val="32"/>
          <w:szCs w:val="32"/>
          <w:u w:val="single"/>
          <w:lang w:eastAsia="zh-CN"/>
        </w:rPr>
        <w:t>“</w:t>
      </w:r>
      <w:r>
        <w:rPr>
          <w:rFonts w:hint="eastAsia" w:ascii="仿宋_GB2312" w:hAnsi="仿宋_GB2312" w:eastAsia="仿宋_GB2312" w:cs="仿宋_GB2312"/>
          <w:snapToGrid w:val="0"/>
          <w:kern w:val="32"/>
          <w:sz w:val="32"/>
          <w:szCs w:val="32"/>
          <w:u w:val="single"/>
        </w:rPr>
        <w:t>是</w:t>
      </w:r>
      <w:r>
        <w:rPr>
          <w:rFonts w:hint="eastAsia" w:ascii="仿宋_GB2312" w:hAnsi="仿宋_GB2312" w:eastAsia="仿宋_GB2312" w:cs="仿宋_GB2312"/>
          <w:snapToGrid w:val="0"/>
          <w:kern w:val="32"/>
          <w:sz w:val="32"/>
          <w:szCs w:val="32"/>
          <w:u w:val="single"/>
          <w:lang w:eastAsia="zh-CN"/>
        </w:rPr>
        <w:t>”</w:t>
      </w:r>
      <w:r>
        <w:rPr>
          <w:rFonts w:hint="eastAsia" w:ascii="仿宋_GB2312" w:hAnsi="仿宋_GB2312" w:eastAsia="仿宋_GB2312" w:cs="仿宋_GB2312"/>
          <w:snapToGrid w:val="0"/>
          <w:kern w:val="32"/>
          <w:sz w:val="32"/>
          <w:szCs w:val="32"/>
          <w:u w:val="single"/>
        </w:rPr>
        <w:t>或</w:t>
      </w:r>
      <w:r>
        <w:rPr>
          <w:rFonts w:hint="eastAsia" w:ascii="仿宋_GB2312" w:hAnsi="仿宋_GB2312" w:eastAsia="仿宋_GB2312" w:cs="仿宋_GB2312"/>
          <w:snapToGrid w:val="0"/>
          <w:kern w:val="32"/>
          <w:sz w:val="32"/>
          <w:szCs w:val="32"/>
          <w:u w:val="single"/>
          <w:lang w:eastAsia="zh-CN"/>
        </w:rPr>
        <w:t>“</w:t>
      </w:r>
      <w:r>
        <w:rPr>
          <w:rFonts w:hint="eastAsia" w:ascii="仿宋_GB2312" w:hAnsi="仿宋_GB2312" w:eastAsia="仿宋_GB2312" w:cs="仿宋_GB2312"/>
          <w:snapToGrid w:val="0"/>
          <w:kern w:val="32"/>
          <w:sz w:val="32"/>
          <w:szCs w:val="32"/>
          <w:u w:val="single"/>
        </w:rPr>
        <w:t>否</w:t>
      </w:r>
      <w:r>
        <w:rPr>
          <w:rFonts w:hint="eastAsia" w:ascii="仿宋_GB2312" w:hAnsi="仿宋_GB2312" w:eastAsia="仿宋_GB2312" w:cs="仿宋_GB2312"/>
          <w:snapToGrid w:val="0"/>
          <w:kern w:val="32"/>
          <w:sz w:val="32"/>
          <w:szCs w:val="32"/>
          <w:u w:val="single"/>
          <w:lang w:eastAsia="zh-CN"/>
        </w:rPr>
        <w:t>”</w:t>
      </w:r>
      <w:r>
        <w:rPr>
          <w:rFonts w:hint="eastAsia" w:ascii="仿宋_GB2312" w:hAnsi="仿宋_GB2312" w:eastAsia="仿宋_GB2312" w:cs="仿宋_GB2312"/>
          <w:snapToGrid w:val="0"/>
          <w:kern w:val="32"/>
          <w:sz w:val="32"/>
          <w:szCs w:val="32"/>
          <w:u w:val="single"/>
        </w:rPr>
        <w:t xml:space="preserve"> </w:t>
      </w:r>
      <w:r>
        <w:rPr>
          <w:rFonts w:hint="eastAsia" w:ascii="仿宋_GB2312" w:hAnsi="仿宋_GB2312" w:eastAsia="仿宋_GB2312" w:cs="仿宋_GB2312"/>
          <w:snapToGrid w:val="0"/>
          <w:kern w:val="32"/>
          <w:sz w:val="32"/>
          <w:szCs w:val="32"/>
        </w:rPr>
        <w:t>每天对外开放时长不少于8小时，且对外开放天数不少于90天/年。</w:t>
      </w:r>
    </w:p>
    <w:p>
      <w:pPr>
        <w:ind w:firstLine="640" w:firstLineChars="200"/>
        <w:rPr>
          <w:rFonts w:ascii="仿宋_GB2312" w:hAnsi="仿宋_GB2312" w:eastAsia="仿宋_GB2312" w:cs="仿宋_GB2312"/>
          <w:snapToGrid w:val="0"/>
          <w:kern w:val="32"/>
          <w:sz w:val="32"/>
          <w:szCs w:val="32"/>
        </w:rPr>
      </w:pPr>
      <w:r>
        <w:rPr>
          <w:rFonts w:hint="eastAsia" w:ascii="仿宋_GB2312" w:hAnsi="仿宋_GB2312" w:eastAsia="仿宋_GB2312" w:cs="仿宋_GB2312"/>
          <w:snapToGrid w:val="0"/>
          <w:kern w:val="32"/>
          <w:sz w:val="32"/>
          <w:szCs w:val="32"/>
        </w:rPr>
        <w:t>特此说明。</w:t>
      </w:r>
    </w:p>
    <w:p>
      <w:pPr>
        <w:ind w:firstLine="640" w:firstLineChars="200"/>
        <w:rPr>
          <w:rFonts w:ascii="仿宋_GB2312" w:hAnsi="仿宋_GB2312" w:eastAsia="仿宋_GB2312" w:cs="仿宋_GB2312"/>
          <w:snapToGrid w:val="0"/>
          <w:kern w:val="32"/>
          <w:sz w:val="32"/>
          <w:szCs w:val="32"/>
        </w:rPr>
      </w:pPr>
    </w:p>
    <w:p>
      <w:pPr>
        <w:ind w:firstLine="640" w:firstLineChars="200"/>
        <w:rPr>
          <w:rFonts w:ascii="仿宋_GB2312" w:hAnsi="仿宋_GB2312" w:eastAsia="仿宋_GB2312" w:cs="仿宋_GB2312"/>
          <w:snapToGrid w:val="0"/>
          <w:kern w:val="32"/>
          <w:sz w:val="32"/>
          <w:szCs w:val="32"/>
        </w:rPr>
      </w:pPr>
    </w:p>
    <w:p>
      <w:pPr>
        <w:ind w:firstLine="640" w:firstLineChars="200"/>
        <w:rPr>
          <w:rFonts w:ascii="仿宋_GB2312" w:hAnsi="仿宋_GB2312" w:eastAsia="仿宋_GB2312" w:cs="仿宋_GB2312"/>
          <w:snapToGrid w:val="0"/>
          <w:kern w:val="32"/>
          <w:sz w:val="32"/>
          <w:szCs w:val="32"/>
        </w:rPr>
      </w:pPr>
    </w:p>
    <w:p>
      <w:pPr>
        <w:ind w:firstLine="3200" w:firstLineChars="1000"/>
        <w:rPr>
          <w:rFonts w:ascii="仿宋_GB2312" w:hAnsi="仿宋_GB2312" w:eastAsia="仿宋_GB2312" w:cs="仿宋_GB2312"/>
          <w:snapToGrid w:val="0"/>
          <w:kern w:val="32"/>
          <w:sz w:val="32"/>
          <w:szCs w:val="32"/>
        </w:rPr>
      </w:pPr>
      <w:r>
        <w:rPr>
          <w:rFonts w:hint="eastAsia" w:ascii="仿宋_GB2312" w:hAnsi="仿宋_GB2312" w:eastAsia="仿宋_GB2312" w:cs="仿宋_GB2312"/>
          <w:snapToGrid w:val="0"/>
          <w:kern w:val="32"/>
          <w:sz w:val="32"/>
          <w:szCs w:val="32"/>
        </w:rPr>
        <w:t>使用单位名称（盖章）：</w:t>
      </w:r>
    </w:p>
    <w:p>
      <w:pPr>
        <w:ind w:firstLine="4480" w:firstLineChars="1400"/>
        <w:rPr>
          <w:rFonts w:ascii="仿宋_GB2312" w:hAnsi="仿宋_GB2312" w:eastAsia="仿宋_GB2312" w:cs="仿宋_GB2312"/>
          <w:snapToGrid w:val="0"/>
          <w:kern w:val="32"/>
          <w:sz w:val="32"/>
          <w:szCs w:val="32"/>
        </w:rPr>
      </w:pPr>
    </w:p>
    <w:p>
      <w:pPr>
        <w:ind w:firstLine="4480" w:firstLineChars="1400"/>
        <w:rPr>
          <w:rFonts w:ascii="仿宋_GB2312" w:hAnsi="仿宋_GB2312" w:eastAsia="仿宋_GB2312" w:cs="仿宋_GB2312"/>
          <w:snapToGrid w:val="0"/>
          <w:kern w:val="32"/>
          <w:sz w:val="32"/>
          <w:szCs w:val="32"/>
        </w:rPr>
        <w:sectPr>
          <w:pgSz w:w="11906" w:h="16838"/>
          <w:pgMar w:top="1440" w:right="1800" w:bottom="1440" w:left="1800" w:header="851" w:footer="992" w:gutter="0"/>
          <w:pgNumType w:fmt="decimal"/>
          <w:cols w:space="720" w:num="1"/>
          <w:docGrid w:type="lines" w:linePitch="312" w:charSpace="0"/>
        </w:sectPr>
      </w:pPr>
      <w:r>
        <w:rPr>
          <w:rFonts w:hint="eastAsia" w:ascii="仿宋_GB2312" w:hAnsi="仿宋_GB2312" w:eastAsia="仿宋_GB2312" w:cs="仿宋_GB2312"/>
          <w:snapToGrid w:val="0"/>
          <w:kern w:val="32"/>
          <w:sz w:val="32"/>
          <w:szCs w:val="32"/>
        </w:rPr>
        <w:t>年   月   日</w:t>
      </w:r>
    </w:p>
    <w:p>
      <w:pPr>
        <w:keepNext/>
        <w:keepLines/>
        <w:widowControl/>
        <w:adjustRightInd w:val="0"/>
        <w:snapToGrid w:val="0"/>
        <w:spacing w:line="560" w:lineRule="exact"/>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附件</w:t>
      </w:r>
      <w:r>
        <w:rPr>
          <w:rFonts w:hint="eastAsia" w:ascii="黑体" w:hAnsi="黑体" w:eastAsia="黑体" w:cs="黑体"/>
          <w:bCs/>
          <w:snapToGrid w:val="0"/>
          <w:kern w:val="44"/>
          <w:sz w:val="32"/>
          <w:szCs w:val="32"/>
          <w:lang w:val="en-US" w:eastAsia="zh-CN"/>
        </w:rPr>
        <w:t>2-3</w:t>
      </w:r>
      <w:r>
        <w:rPr>
          <w:rFonts w:hint="eastAsia" w:ascii="黑体" w:hAnsi="黑体" w:eastAsia="黑体" w:cs="黑体"/>
          <w:bCs/>
          <w:snapToGrid w:val="0"/>
          <w:kern w:val="44"/>
          <w:sz w:val="32"/>
          <w:szCs w:val="32"/>
        </w:rPr>
        <w:t xml:space="preserve"> </w:t>
      </w:r>
    </w:p>
    <w:p>
      <w:pPr>
        <w:keepNext/>
        <w:keepLines/>
        <w:widowControl/>
        <w:adjustRightInd w:val="0"/>
        <w:snapToGrid w:val="0"/>
        <w:spacing w:line="560" w:lineRule="exact"/>
        <w:jc w:val="center"/>
        <w:rPr>
          <w:rFonts w:ascii="黑体" w:hAnsi="黑体" w:eastAsia="黑体" w:cs="黑体"/>
          <w:bCs/>
          <w:snapToGrid w:val="0"/>
          <w:kern w:val="32"/>
          <w:sz w:val="32"/>
          <w:szCs w:val="32"/>
        </w:rPr>
      </w:pPr>
    </w:p>
    <w:p>
      <w:pPr>
        <w:keepNext/>
        <w:keepLines/>
        <w:widowControl/>
        <w:adjustRightInd w:val="0"/>
        <w:snapToGrid w:val="0"/>
        <w:spacing w:line="560" w:lineRule="exact"/>
        <w:jc w:val="center"/>
        <w:outlineLvl w:val="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承诺书</w:t>
      </w:r>
    </w:p>
    <w:p>
      <w:pPr>
        <w:spacing w:line="560" w:lineRule="exact"/>
        <w:ind w:firstLine="640" w:firstLineChars="200"/>
        <w:rPr>
          <w:rFonts w:ascii="仿宋_GB2312" w:hAnsi="宋体" w:eastAsia="仿宋_GB2312" w:cs="Times New Roman"/>
          <w:bCs/>
          <w:snapToGrid w:val="0"/>
          <w:kern w:val="32"/>
          <w:sz w:val="32"/>
          <w:szCs w:val="32"/>
        </w:rPr>
      </w:pPr>
    </w:p>
    <w:p>
      <w:pPr>
        <w:spacing w:line="560" w:lineRule="exact"/>
        <w:ind w:firstLine="640" w:firstLineChars="200"/>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我单位就202</w:t>
      </w:r>
      <w:r>
        <w:rPr>
          <w:rFonts w:ascii="仿宋_GB2312" w:hAnsi="宋体" w:eastAsia="仿宋_GB2312" w:cs="Times New Roman"/>
          <w:bCs/>
          <w:snapToGrid w:val="0"/>
          <w:kern w:val="32"/>
          <w:sz w:val="32"/>
          <w:szCs w:val="32"/>
        </w:rPr>
        <w:t>3</w:t>
      </w:r>
      <w:r>
        <w:rPr>
          <w:rFonts w:hint="eastAsia" w:ascii="仿宋_GB2312" w:hAnsi="宋体" w:eastAsia="仿宋_GB2312" w:cs="Times New Roman"/>
          <w:bCs/>
          <w:snapToGrid w:val="0"/>
          <w:kern w:val="32"/>
          <w:sz w:val="32"/>
          <w:szCs w:val="32"/>
        </w:rPr>
        <w:t>年申报的充换电设施，承诺如下：</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1.所提供的全部文件、证件、有关材料及其复印件均真实、合法、有效，并对其承担一切法律责任。</w:t>
      </w:r>
    </w:p>
    <w:p>
      <w:pPr>
        <w:spacing w:line="560" w:lineRule="exact"/>
        <w:ind w:firstLine="640" w:firstLineChars="200"/>
        <w:rPr>
          <w:rFonts w:ascii="仿宋_GB2312" w:hAnsi="仿宋_GB2312" w:eastAsia="仿宋_GB2312" w:cs="仿宋_GB2312"/>
          <w:sz w:val="32"/>
          <w:szCs w:val="32"/>
          <w:lang w:eastAsia="zh-Hans"/>
        </w:rPr>
      </w:pPr>
      <w:r>
        <w:rPr>
          <w:rFonts w:hint="eastAsia" w:ascii="仿宋_GB2312" w:hAnsi="宋体" w:eastAsia="仿宋_GB2312" w:cs="Times New Roman"/>
          <w:bCs/>
          <w:snapToGrid w:val="0"/>
          <w:kern w:val="32"/>
          <w:sz w:val="32"/>
          <w:szCs w:val="32"/>
        </w:rPr>
        <w:t>2.申报运营奖励的社会公用充电设施、</w:t>
      </w:r>
      <w:r>
        <w:rPr>
          <w:rFonts w:hint="eastAsia" w:ascii="仿宋_GB2312" w:hAnsi="宋体" w:eastAsia="仿宋_GB2312" w:cs="Times New Roman"/>
          <w:bCs/>
          <w:snapToGrid w:val="0"/>
          <w:kern w:val="32"/>
          <w:sz w:val="32"/>
          <w:szCs w:val="32"/>
          <w:u w:val="none"/>
        </w:rPr>
        <w:t>充电精品示范区、“统建统服”试点项目</w:t>
      </w:r>
      <w:r>
        <w:rPr>
          <w:rFonts w:hint="eastAsia" w:ascii="仿宋_GB2312" w:hAnsi="宋体" w:eastAsia="仿宋_GB2312" w:cs="Times New Roman"/>
          <w:bCs/>
          <w:snapToGrid w:val="0"/>
          <w:kern w:val="32"/>
          <w:sz w:val="32"/>
          <w:szCs w:val="32"/>
        </w:rPr>
        <w:t>能够面向社会开放使用</w:t>
      </w:r>
      <w:r>
        <w:rPr>
          <w:rFonts w:ascii="仿宋_GB2312" w:hAnsi="仿宋_GB2312" w:eastAsia="仿宋_GB2312" w:cs="仿宋_GB2312"/>
          <w:sz w:val="32"/>
          <w:szCs w:val="32"/>
          <w:lang w:eastAsia="zh-Hans"/>
        </w:rPr>
        <w:t>。</w:t>
      </w:r>
    </w:p>
    <w:p>
      <w:pPr>
        <w:spacing w:line="560" w:lineRule="exact"/>
        <w:ind w:firstLine="640" w:firstLineChars="200"/>
        <w:rPr>
          <w:rFonts w:ascii="仿宋_GB2312" w:hAnsi="仿宋_GB2312" w:eastAsia="仿宋_GB2312" w:cs="仿宋_GB2312"/>
          <w:sz w:val="32"/>
          <w:szCs w:val="32"/>
          <w:lang w:eastAsia="zh-Hans"/>
        </w:rPr>
      </w:pPr>
      <w:r>
        <w:rPr>
          <w:rFonts w:hint="eastAsia" w:ascii="仿宋_GB2312" w:hAnsi="宋体" w:eastAsia="仿宋_GB2312" w:cs="Times New Roman"/>
          <w:bCs/>
          <w:snapToGrid w:val="0"/>
          <w:kern w:val="32"/>
          <w:sz w:val="32"/>
          <w:szCs w:val="32"/>
        </w:rPr>
        <w:t>3.申报建设奖励的单位内部充电设施、换电设施、有序充电、V2G、光（储）充充电站项目未使用财政资金建设。</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4.申报建设奖励的单位内部充电设施，能够为充电设施使用单位的公务用车及职工自有电动汽车使用。申报开放奖励的单位内部充电设施，每天对外开放时长不少于8小时，且对外开放天数不少于90天/年。</w:t>
      </w:r>
    </w:p>
    <w:p>
      <w:pPr>
        <w:spacing w:line="560" w:lineRule="exact"/>
        <w:ind w:firstLine="640" w:firstLineChars="200"/>
        <w:rPr>
          <w:rFonts w:ascii="仿宋_GB2312" w:hAnsi="仿宋_GB2312" w:eastAsia="仿宋_GB2312" w:cs="仿宋_GB2312"/>
          <w:sz w:val="32"/>
          <w:szCs w:val="32"/>
          <w:lang w:eastAsia="zh-Hans"/>
        </w:rPr>
      </w:pPr>
      <w:r>
        <w:rPr>
          <w:rFonts w:hint="eastAsia" w:ascii="仿宋_GB2312" w:hAnsi="宋体" w:eastAsia="仿宋_GB2312" w:cs="Times New Roman"/>
          <w:bCs/>
          <w:snapToGrid w:val="0"/>
          <w:kern w:val="32"/>
          <w:sz w:val="32"/>
          <w:szCs w:val="32"/>
        </w:rPr>
        <w:t>5.申报的充换电设施如出现拆除、长期停运或更换位置等运营异常情况，将及时向市城市管理委汇报有关情况。</w:t>
      </w:r>
    </w:p>
    <w:p>
      <w:pPr>
        <w:spacing w:line="560" w:lineRule="exact"/>
        <w:ind w:firstLine="640" w:firstLineChars="200"/>
        <w:rPr>
          <w:rFonts w:ascii="仿宋_GB2312" w:hAnsi="宋体" w:eastAsia="仿宋_GB2312" w:cs="Times New Roman"/>
          <w:bCs/>
          <w:snapToGrid w:val="0"/>
          <w:kern w:val="32"/>
          <w:sz w:val="32"/>
          <w:szCs w:val="32"/>
        </w:rPr>
      </w:pPr>
    </w:p>
    <w:p>
      <w:pPr>
        <w:pStyle w:val="2"/>
      </w:pPr>
    </w:p>
    <w:p>
      <w:pPr>
        <w:spacing w:line="560" w:lineRule="exact"/>
        <w:rPr>
          <w:rFonts w:ascii="仿宋_GB2312" w:hAnsi="宋体" w:eastAsia="仿宋_GB2312" w:cs="Times New Roman"/>
          <w:bCs/>
          <w:snapToGrid w:val="0"/>
          <w:kern w:val="32"/>
          <w:sz w:val="32"/>
          <w:szCs w:val="32"/>
        </w:rPr>
      </w:pPr>
    </w:p>
    <w:p>
      <w:pPr>
        <w:spacing w:line="560" w:lineRule="exact"/>
        <w:ind w:firstLine="640" w:firstLineChars="200"/>
        <w:jc w:val="center"/>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 xml:space="preserve">         申报单位名称（公章）：</w:t>
      </w:r>
    </w:p>
    <w:p>
      <w:pPr>
        <w:spacing w:line="560" w:lineRule="exact"/>
        <w:ind w:firstLine="640" w:firstLineChars="200"/>
        <w:jc w:val="center"/>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 xml:space="preserve">              </w:t>
      </w:r>
    </w:p>
    <w:p>
      <w:pPr>
        <w:spacing w:line="560" w:lineRule="exact"/>
        <w:ind w:firstLine="640" w:firstLineChars="200"/>
        <w:jc w:val="center"/>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 xml:space="preserve">             年   月   日</w:t>
      </w:r>
    </w:p>
    <w:p>
      <w:pPr>
        <w:pStyle w:val="2"/>
        <w:rPr>
          <w:rFonts w:ascii="仿宋_GB2312" w:hAnsi="宋体" w:eastAsia="仿宋_GB2312" w:cs="Times New Roman"/>
          <w:snapToGrid w:val="0"/>
          <w:kern w:val="32"/>
          <w:sz w:val="32"/>
          <w:szCs w:val="32"/>
        </w:rPr>
      </w:pPr>
      <w:r>
        <w:rPr>
          <w:rFonts w:ascii="仿宋_GB2312" w:hAnsi="宋体" w:eastAsia="仿宋_GB2312" w:cs="Times New Roman"/>
          <w:snapToGrid w:val="0"/>
          <w:kern w:val="32"/>
          <w:sz w:val="32"/>
          <w:szCs w:val="32"/>
        </w:rPr>
        <w:br w:type="page"/>
      </w:r>
    </w:p>
    <w:p>
      <w:pPr>
        <w:keepNext/>
        <w:keepLines/>
        <w:widowControl/>
        <w:adjustRightInd w:val="0"/>
        <w:snapToGrid w:val="0"/>
        <w:spacing w:line="560" w:lineRule="exact"/>
        <w:outlineLvl w:val="0"/>
        <w:rPr>
          <w:rFonts w:ascii="黑体" w:hAnsi="黑体" w:eastAsia="黑体" w:cs="黑体"/>
          <w:bCs/>
          <w:snapToGrid w:val="0"/>
          <w:kern w:val="44"/>
          <w:sz w:val="32"/>
          <w:szCs w:val="32"/>
        </w:rPr>
      </w:pPr>
      <w:r>
        <w:rPr>
          <w:rFonts w:hint="eastAsia" w:ascii="黑体" w:hAnsi="黑体" w:eastAsia="黑体" w:cs="黑体"/>
          <w:bCs/>
          <w:snapToGrid w:val="0"/>
          <w:kern w:val="44"/>
          <w:sz w:val="32"/>
          <w:szCs w:val="32"/>
        </w:rPr>
        <w:t>附件</w:t>
      </w:r>
      <w:r>
        <w:rPr>
          <w:rFonts w:hint="eastAsia" w:ascii="黑体" w:hAnsi="黑体" w:eastAsia="黑体" w:cs="黑体"/>
          <w:bCs/>
          <w:snapToGrid w:val="0"/>
          <w:kern w:val="44"/>
          <w:sz w:val="32"/>
          <w:szCs w:val="32"/>
          <w:lang w:val="en-US" w:eastAsia="zh-CN"/>
        </w:rPr>
        <w:t>3</w:t>
      </w:r>
      <w:r>
        <w:rPr>
          <w:rFonts w:hint="eastAsia" w:ascii="黑体" w:hAnsi="黑体" w:eastAsia="黑体" w:cs="黑体"/>
          <w:bCs/>
          <w:snapToGrid w:val="0"/>
          <w:kern w:val="44"/>
          <w:sz w:val="32"/>
          <w:szCs w:val="32"/>
        </w:rPr>
        <w:t xml:space="preserve"> </w:t>
      </w:r>
    </w:p>
    <w:p>
      <w:pPr>
        <w:widowControl/>
        <w:adjustRightInd w:val="0"/>
        <w:snapToGrid w:val="0"/>
        <w:spacing w:line="560" w:lineRule="exact"/>
        <w:jc w:val="center"/>
        <w:outlineLvl w:val="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202</w:t>
      </w:r>
      <w:r>
        <w:rPr>
          <w:rFonts w:ascii="黑体" w:hAnsi="黑体" w:eastAsia="黑体" w:cs="黑体"/>
          <w:bCs/>
          <w:snapToGrid w:val="0"/>
          <w:kern w:val="32"/>
          <w:sz w:val="32"/>
          <w:szCs w:val="32"/>
        </w:rPr>
        <w:t>3</w:t>
      </w:r>
      <w:r>
        <w:rPr>
          <w:rFonts w:hint="eastAsia" w:ascii="黑体" w:hAnsi="黑体" w:eastAsia="黑体" w:cs="黑体"/>
          <w:bCs/>
          <w:snapToGrid w:val="0"/>
          <w:kern w:val="32"/>
          <w:sz w:val="32"/>
          <w:szCs w:val="32"/>
        </w:rPr>
        <w:t>年度北京市电动汽车充换电站考核评价方法</w:t>
      </w:r>
    </w:p>
    <w:p>
      <w:pPr>
        <w:bidi w:val="0"/>
      </w:pPr>
    </w:p>
    <w:p>
      <w:pPr>
        <w:spacing w:line="560" w:lineRule="exact"/>
        <w:ind w:firstLine="640" w:firstLineChars="200"/>
        <w:rPr>
          <w:rFonts w:ascii="仿宋_GB2312" w:hAnsi="仿宋" w:eastAsia="仿宋_GB2312" w:cs="Times New Roman"/>
          <w:bCs/>
          <w:snapToGrid w:val="0"/>
          <w:kern w:val="32"/>
          <w:sz w:val="32"/>
          <w:szCs w:val="32"/>
        </w:rPr>
      </w:pPr>
      <w:r>
        <w:rPr>
          <w:rFonts w:hint="eastAsia" w:ascii="仿宋_GB2312" w:hAnsi="仿宋" w:eastAsia="仿宋_GB2312" w:cs="Times New Roman"/>
          <w:bCs/>
          <w:snapToGrid w:val="0"/>
          <w:kern w:val="32"/>
          <w:sz w:val="32"/>
          <w:szCs w:val="32"/>
        </w:rPr>
        <w:t>分别对申报运营奖励的居住区公用充电设施、社会公用充电设施、换电设施在2022年6月1日-2023年7月31日期间的运营情况进行考核评价，评价指标体系包括充</w:t>
      </w:r>
      <w:r>
        <w:rPr>
          <w:rFonts w:hint="eastAsia" w:ascii="仿宋_GB2312" w:hAnsi="仿宋" w:eastAsia="仿宋_GB2312" w:cs="Times New Roman"/>
          <w:bCs/>
          <w:snapToGrid w:val="0"/>
          <w:kern w:val="32"/>
          <w:sz w:val="32"/>
          <w:szCs w:val="32"/>
          <w:lang w:val="en-US" w:eastAsia="zh-CN"/>
        </w:rPr>
        <w:t>换</w:t>
      </w:r>
      <w:r>
        <w:rPr>
          <w:rFonts w:hint="eastAsia" w:ascii="仿宋_GB2312" w:hAnsi="仿宋" w:eastAsia="仿宋_GB2312" w:cs="Times New Roman"/>
          <w:bCs/>
          <w:snapToGrid w:val="0"/>
          <w:kern w:val="32"/>
          <w:sz w:val="32"/>
          <w:szCs w:val="32"/>
        </w:rPr>
        <w:t>电安全</w:t>
      </w:r>
      <w:r>
        <w:rPr>
          <w:rFonts w:hint="eastAsia" w:ascii="仿宋_GB2312" w:hAnsi="仿宋" w:eastAsia="仿宋_GB2312" w:cs="Times New Roman"/>
          <w:bCs/>
          <w:snapToGrid w:val="0"/>
          <w:kern w:val="32"/>
          <w:sz w:val="32"/>
          <w:szCs w:val="32"/>
          <w:lang w:eastAsia="zh-Hans"/>
        </w:rPr>
        <w:t>性</w:t>
      </w:r>
      <w:r>
        <w:rPr>
          <w:rFonts w:ascii="仿宋_GB2312" w:hAnsi="仿宋" w:eastAsia="仿宋_GB2312" w:cs="Times New Roman"/>
          <w:bCs/>
          <w:snapToGrid w:val="0"/>
          <w:kern w:val="32"/>
          <w:sz w:val="32"/>
          <w:szCs w:val="32"/>
          <w:lang w:eastAsia="zh-Hans"/>
        </w:rPr>
        <w:t>、</w:t>
      </w:r>
      <w:r>
        <w:rPr>
          <w:rFonts w:hint="eastAsia" w:ascii="仿宋_GB2312" w:hAnsi="仿宋" w:eastAsia="仿宋_GB2312" w:cs="Times New Roman"/>
          <w:bCs/>
          <w:snapToGrid w:val="0"/>
          <w:kern w:val="32"/>
          <w:sz w:val="32"/>
          <w:szCs w:val="32"/>
          <w:lang w:eastAsia="zh-Hans"/>
        </w:rPr>
        <w:t>可用性</w:t>
      </w:r>
      <w:r>
        <w:rPr>
          <w:rFonts w:ascii="仿宋_GB2312" w:hAnsi="仿宋" w:eastAsia="仿宋_GB2312" w:cs="Times New Roman"/>
          <w:bCs/>
          <w:snapToGrid w:val="0"/>
          <w:kern w:val="32"/>
          <w:sz w:val="32"/>
          <w:szCs w:val="32"/>
          <w:lang w:eastAsia="zh-Hans"/>
        </w:rPr>
        <w:t>、</w:t>
      </w:r>
      <w:r>
        <w:rPr>
          <w:rFonts w:hint="eastAsia" w:ascii="仿宋_GB2312" w:hAnsi="仿宋" w:eastAsia="仿宋_GB2312" w:cs="Times New Roman"/>
          <w:bCs/>
          <w:snapToGrid w:val="0"/>
          <w:kern w:val="32"/>
          <w:sz w:val="32"/>
          <w:szCs w:val="32"/>
          <w:lang w:eastAsia="zh-Hans"/>
        </w:rPr>
        <w:t>及时性</w:t>
      </w:r>
      <w:r>
        <w:rPr>
          <w:rFonts w:ascii="仿宋_GB2312" w:hAnsi="仿宋" w:eastAsia="仿宋_GB2312" w:cs="Times New Roman"/>
          <w:bCs/>
          <w:snapToGrid w:val="0"/>
          <w:kern w:val="32"/>
          <w:sz w:val="32"/>
          <w:szCs w:val="32"/>
          <w:lang w:eastAsia="zh-Hans"/>
        </w:rPr>
        <w:t>、</w:t>
      </w:r>
      <w:r>
        <w:rPr>
          <w:rFonts w:hint="eastAsia" w:ascii="仿宋_GB2312" w:hAnsi="仿宋" w:eastAsia="仿宋_GB2312" w:cs="Times New Roman"/>
          <w:bCs/>
          <w:snapToGrid w:val="0"/>
          <w:kern w:val="32"/>
          <w:sz w:val="32"/>
          <w:szCs w:val="32"/>
          <w:lang w:eastAsia="zh-Hans"/>
        </w:rPr>
        <w:t>友好</w:t>
      </w:r>
      <w:r>
        <w:rPr>
          <w:rFonts w:hint="eastAsia" w:ascii="仿宋_GB2312" w:hAnsi="仿宋" w:eastAsia="仿宋_GB2312" w:cs="Times New Roman"/>
          <w:bCs/>
          <w:snapToGrid w:val="0"/>
          <w:kern w:val="32"/>
          <w:sz w:val="32"/>
          <w:szCs w:val="32"/>
        </w:rPr>
        <w:t>性等</w:t>
      </w:r>
      <w:r>
        <w:rPr>
          <w:rFonts w:ascii="仿宋_GB2312" w:hAnsi="仿宋" w:eastAsia="仿宋_GB2312" w:cs="Times New Roman"/>
          <w:bCs/>
          <w:snapToGrid w:val="0"/>
          <w:kern w:val="32"/>
          <w:sz w:val="32"/>
          <w:szCs w:val="32"/>
        </w:rPr>
        <w:t>4</w:t>
      </w:r>
      <w:r>
        <w:rPr>
          <w:rFonts w:hint="eastAsia" w:ascii="仿宋_GB2312" w:hAnsi="仿宋" w:eastAsia="仿宋_GB2312" w:cs="Times New Roman"/>
          <w:bCs/>
          <w:snapToGrid w:val="0"/>
          <w:kern w:val="32"/>
          <w:sz w:val="32"/>
          <w:szCs w:val="32"/>
        </w:rPr>
        <w:t>个一级指标、若干二级指标。根据充换电站各二级指标对应得分，计算综合评分，并按照规则确定充换电站等级。</w:t>
      </w:r>
    </w:p>
    <w:p>
      <w:pPr>
        <w:spacing w:line="560" w:lineRule="exact"/>
        <w:jc w:val="center"/>
        <w:rPr>
          <w:rFonts w:ascii="黑体" w:hAnsi="黑体" w:eastAsia="黑体" w:cs="Times New Roman"/>
          <w:bCs/>
          <w:snapToGrid w:val="0"/>
          <w:kern w:val="32"/>
          <w:sz w:val="28"/>
          <w:szCs w:val="32"/>
        </w:rPr>
      </w:pPr>
      <w:r>
        <w:rPr>
          <w:rFonts w:hint="eastAsia" w:ascii="黑体" w:hAnsi="黑体" w:eastAsia="黑体" w:cs="Times New Roman"/>
          <w:bCs/>
          <w:snapToGrid w:val="0"/>
          <w:kern w:val="32"/>
          <w:sz w:val="28"/>
          <w:szCs w:val="32"/>
        </w:rPr>
        <w:t>表</w:t>
      </w:r>
      <w:r>
        <w:rPr>
          <w:rFonts w:ascii="黑体" w:hAnsi="黑体" w:eastAsia="黑体" w:cs="Times New Roman"/>
          <w:bCs/>
          <w:snapToGrid w:val="0"/>
          <w:kern w:val="32"/>
          <w:sz w:val="28"/>
          <w:szCs w:val="32"/>
        </w:rPr>
        <w:t>1</w:t>
      </w:r>
      <w:r>
        <w:rPr>
          <w:rFonts w:hint="eastAsia" w:ascii="黑体" w:hAnsi="黑体" w:eastAsia="黑体" w:cs="Times New Roman"/>
          <w:bCs/>
          <w:snapToGrid w:val="0"/>
          <w:kern w:val="32"/>
          <w:sz w:val="28"/>
          <w:szCs w:val="32"/>
        </w:rPr>
        <w:t xml:space="preserve"> </w:t>
      </w:r>
      <w:r>
        <w:rPr>
          <w:rFonts w:ascii="黑体" w:hAnsi="黑体" w:eastAsia="黑体" w:cs="Times New Roman"/>
          <w:bCs/>
          <w:snapToGrid w:val="0"/>
          <w:kern w:val="32"/>
          <w:sz w:val="28"/>
          <w:szCs w:val="32"/>
        </w:rPr>
        <w:t>2023</w:t>
      </w:r>
      <w:r>
        <w:rPr>
          <w:rFonts w:hint="eastAsia" w:ascii="黑体" w:hAnsi="黑体" w:eastAsia="黑体" w:cs="Times New Roman"/>
          <w:bCs/>
          <w:snapToGrid w:val="0"/>
          <w:kern w:val="32"/>
          <w:sz w:val="28"/>
          <w:szCs w:val="32"/>
          <w:lang w:eastAsia="zh-Hans"/>
        </w:rPr>
        <w:t>年</w:t>
      </w:r>
      <w:r>
        <w:rPr>
          <w:rFonts w:hint="eastAsia" w:ascii="黑体" w:hAnsi="黑体" w:eastAsia="黑体" w:cs="Times New Roman"/>
          <w:bCs/>
          <w:snapToGrid w:val="0"/>
          <w:kern w:val="32"/>
          <w:sz w:val="28"/>
          <w:szCs w:val="32"/>
        </w:rPr>
        <w:t>充换电站考核评价指标体系</w:t>
      </w:r>
    </w:p>
    <w:tbl>
      <w:tblPr>
        <w:tblStyle w:val="9"/>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636"/>
        <w:gridCol w:w="990"/>
        <w:gridCol w:w="912"/>
        <w:gridCol w:w="713"/>
        <w:gridCol w:w="1662"/>
        <w:gridCol w:w="713"/>
        <w:gridCol w:w="1425"/>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restart"/>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一级指标</w:t>
            </w:r>
          </w:p>
        </w:tc>
        <w:tc>
          <w:tcPr>
            <w:tcW w:w="636" w:type="dxa"/>
            <w:vMerge w:val="restart"/>
            <w:vAlign w:val="center"/>
          </w:tcPr>
          <w:p>
            <w:pPr>
              <w:widowControl/>
              <w:jc w:val="center"/>
              <w:rPr>
                <w:rFonts w:ascii="Times New Roman" w:hAnsi="Times New Roman" w:eastAsia="宋体" w:cs="Times New Roman"/>
                <w:b/>
                <w:snapToGrid w:val="0"/>
                <w:color w:val="000000"/>
                <w:kern w:val="0"/>
                <w:sz w:val="24"/>
              </w:rPr>
            </w:pPr>
            <w:r>
              <w:rPr>
                <w:rFonts w:hint="eastAsia" w:ascii="Times New Roman" w:hAnsi="Times New Roman" w:eastAsia="宋体" w:cs="Times New Roman"/>
                <w:b/>
                <w:snapToGrid w:val="0"/>
                <w:color w:val="000000"/>
                <w:kern w:val="0"/>
                <w:sz w:val="24"/>
              </w:rPr>
              <w:t>序号</w:t>
            </w:r>
          </w:p>
        </w:tc>
        <w:tc>
          <w:tcPr>
            <w:tcW w:w="2615" w:type="dxa"/>
            <w:gridSpan w:val="3"/>
            <w:vAlign w:val="center"/>
          </w:tcPr>
          <w:p>
            <w:pPr>
              <w:widowControl/>
              <w:jc w:val="center"/>
              <w:rPr>
                <w:rFonts w:ascii="Times New Roman" w:hAnsi="Times New Roman" w:eastAsia="宋体" w:cs="Times New Roman"/>
                <w:b/>
                <w:snapToGrid w:val="0"/>
                <w:color w:val="000000"/>
                <w:kern w:val="0"/>
                <w:sz w:val="24"/>
              </w:rPr>
            </w:pPr>
            <w:r>
              <w:rPr>
                <w:rFonts w:hint="eastAsia" w:ascii="Times New Roman" w:hAnsi="Times New Roman" w:eastAsia="宋体" w:cs="Times New Roman"/>
                <w:b/>
                <w:snapToGrid w:val="0"/>
                <w:color w:val="000000"/>
                <w:kern w:val="0"/>
                <w:sz w:val="24"/>
              </w:rPr>
              <w:t>居住区公用充电站</w:t>
            </w:r>
          </w:p>
        </w:tc>
        <w:tc>
          <w:tcPr>
            <w:tcW w:w="2375" w:type="dxa"/>
            <w:gridSpan w:val="2"/>
            <w:vAlign w:val="center"/>
          </w:tcPr>
          <w:p>
            <w:pPr>
              <w:widowControl/>
              <w:jc w:val="center"/>
              <w:rPr>
                <w:rFonts w:ascii="Times New Roman" w:hAnsi="Times New Roman" w:eastAsia="宋体" w:cs="Times New Roman"/>
                <w:b/>
                <w:snapToGrid w:val="0"/>
                <w:color w:val="000000"/>
                <w:kern w:val="0"/>
                <w:sz w:val="24"/>
              </w:rPr>
            </w:pPr>
            <w:r>
              <w:rPr>
                <w:rFonts w:hint="eastAsia" w:ascii="Times New Roman" w:hAnsi="Times New Roman" w:eastAsia="宋体" w:cs="Times New Roman"/>
                <w:b/>
                <w:snapToGrid w:val="0"/>
                <w:color w:val="000000"/>
                <w:kern w:val="0"/>
                <w:sz w:val="24"/>
              </w:rPr>
              <w:t>社会公用充电站</w:t>
            </w:r>
          </w:p>
        </w:tc>
        <w:tc>
          <w:tcPr>
            <w:tcW w:w="2138" w:type="dxa"/>
            <w:gridSpan w:val="2"/>
            <w:vAlign w:val="center"/>
          </w:tcPr>
          <w:p>
            <w:pPr>
              <w:widowControl/>
              <w:jc w:val="center"/>
              <w:rPr>
                <w:rFonts w:ascii="Times New Roman" w:hAnsi="Times New Roman" w:eastAsia="宋体" w:cs="Times New Roman"/>
                <w:b/>
                <w:snapToGrid w:val="0"/>
                <w:color w:val="000000"/>
                <w:kern w:val="0"/>
                <w:sz w:val="24"/>
              </w:rPr>
            </w:pPr>
            <w:r>
              <w:rPr>
                <w:rFonts w:hint="eastAsia" w:ascii="Times New Roman" w:hAnsi="Times New Roman" w:eastAsia="宋体" w:cs="Times New Roman"/>
                <w:b/>
                <w:snapToGrid w:val="0"/>
                <w:color w:val="000000"/>
                <w:kern w:val="0"/>
                <w:sz w:val="24"/>
              </w:rPr>
              <w:t>换电站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continue"/>
            <w:vAlign w:val="center"/>
          </w:tcPr>
          <w:p>
            <w:pPr>
              <w:widowControl/>
              <w:jc w:val="center"/>
              <w:rPr>
                <w:rFonts w:ascii="Times New Roman" w:hAnsi="Times New Roman" w:eastAsia="宋体" w:cs="Times New Roman"/>
                <w:b/>
                <w:snapToGrid w:val="0"/>
                <w:color w:val="000000"/>
                <w:kern w:val="0"/>
                <w:sz w:val="24"/>
              </w:rPr>
            </w:pPr>
          </w:p>
        </w:tc>
        <w:tc>
          <w:tcPr>
            <w:tcW w:w="636" w:type="dxa"/>
            <w:vMerge w:val="continue"/>
            <w:vAlign w:val="center"/>
          </w:tcPr>
          <w:p>
            <w:pPr>
              <w:widowControl/>
              <w:jc w:val="center"/>
              <w:rPr>
                <w:rFonts w:ascii="Times New Roman" w:hAnsi="Times New Roman" w:eastAsia="宋体" w:cs="Times New Roman"/>
                <w:b/>
                <w:snapToGrid w:val="0"/>
                <w:color w:val="000000"/>
                <w:kern w:val="0"/>
                <w:sz w:val="24"/>
              </w:rPr>
            </w:pPr>
          </w:p>
        </w:tc>
        <w:tc>
          <w:tcPr>
            <w:tcW w:w="1902" w:type="dxa"/>
            <w:gridSpan w:val="2"/>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二级指标</w:t>
            </w:r>
          </w:p>
        </w:tc>
        <w:tc>
          <w:tcPr>
            <w:tcW w:w="713" w:type="dxa"/>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分值</w:t>
            </w:r>
          </w:p>
        </w:tc>
        <w:tc>
          <w:tcPr>
            <w:tcW w:w="1662" w:type="dxa"/>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二级指标</w:t>
            </w:r>
          </w:p>
        </w:tc>
        <w:tc>
          <w:tcPr>
            <w:tcW w:w="713" w:type="dxa"/>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分值</w:t>
            </w:r>
          </w:p>
        </w:tc>
        <w:tc>
          <w:tcPr>
            <w:tcW w:w="1425" w:type="dxa"/>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二级指标</w:t>
            </w:r>
          </w:p>
        </w:tc>
        <w:tc>
          <w:tcPr>
            <w:tcW w:w="713" w:type="dxa"/>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55" w:type="dxa"/>
            <w:vMerge w:val="restart"/>
            <w:vAlign w:val="center"/>
          </w:tcPr>
          <w:p>
            <w:pPr>
              <w:widowControl/>
              <w:jc w:val="center"/>
              <w:rPr>
                <w:rFonts w:ascii="Times New Roman" w:hAnsi="Times New Roman" w:eastAsia="宋体" w:cs="Times New Roman"/>
                <w:bCs/>
                <w:snapToGrid w:val="0"/>
                <w:color w:val="000000"/>
                <w:kern w:val="0"/>
                <w:sz w:val="24"/>
                <w:lang w:eastAsia="zh-Hans"/>
              </w:rPr>
            </w:pPr>
            <w:r>
              <w:rPr>
                <w:rFonts w:hint="eastAsia" w:ascii="Times New Roman" w:hAnsi="Times New Roman" w:eastAsia="宋体" w:cs="Times New Roman"/>
                <w:bCs/>
                <w:snapToGrid w:val="0"/>
                <w:color w:val="000000"/>
                <w:kern w:val="0"/>
                <w:sz w:val="24"/>
                <w:lang w:eastAsia="zh-Hans"/>
              </w:rPr>
              <w:t>安全性</w:t>
            </w:r>
          </w:p>
        </w:tc>
        <w:tc>
          <w:tcPr>
            <w:tcW w:w="636" w:type="dxa"/>
            <w:vAlign w:val="center"/>
          </w:tcPr>
          <w:p>
            <w:pPr>
              <w:widowControl/>
              <w:jc w:val="center"/>
              <w:rPr>
                <w:rFonts w:ascii="Times New Roman" w:hAnsi="Times New Roman" w:eastAsia="宋体" w:cs="Times New Roman"/>
                <w:bCs/>
                <w:snapToGrid w:val="0"/>
                <w:color w:val="000000"/>
                <w:kern w:val="0"/>
                <w:sz w:val="24"/>
              </w:rPr>
            </w:pPr>
            <w:r>
              <w:rPr>
                <w:rFonts w:ascii="Times New Roman" w:hAnsi="Times New Roman" w:eastAsia="宋体" w:cs="Times New Roman"/>
                <w:bCs/>
                <w:snapToGrid w:val="0"/>
                <w:color w:val="000000"/>
                <w:kern w:val="0"/>
                <w:sz w:val="24"/>
              </w:rPr>
              <w:t>1</w:t>
            </w:r>
          </w:p>
        </w:tc>
        <w:tc>
          <w:tcPr>
            <w:tcW w:w="1902" w:type="dxa"/>
            <w:gridSpan w:val="2"/>
            <w:vAlign w:val="center"/>
          </w:tcPr>
          <w:p>
            <w:pPr>
              <w:widowControl/>
              <w:jc w:val="center"/>
              <w:rPr>
                <w:rFonts w:ascii="Times New Roman" w:hAnsi="Times New Roman" w:eastAsia="宋体" w:cs="Times New Roman"/>
                <w:bCs/>
                <w:snapToGrid w:val="0"/>
                <w:color w:val="000000"/>
                <w:kern w:val="0"/>
                <w:sz w:val="24"/>
              </w:rPr>
            </w:pPr>
            <w:r>
              <w:rPr>
                <w:rFonts w:ascii="Times New Roman" w:hAnsi="Times New Roman" w:eastAsia="宋体" w:cs="Times New Roman"/>
                <w:bCs/>
                <w:snapToGrid w:val="0"/>
                <w:color w:val="000000"/>
                <w:kern w:val="0"/>
                <w:sz w:val="24"/>
              </w:rPr>
              <w:t>安全事故</w:t>
            </w:r>
          </w:p>
        </w:tc>
        <w:tc>
          <w:tcPr>
            <w:tcW w:w="713" w:type="dxa"/>
            <w:vMerge w:val="restart"/>
            <w:vAlign w:val="center"/>
          </w:tcPr>
          <w:p>
            <w:pPr>
              <w:widowControl/>
              <w:jc w:val="center"/>
              <w:rPr>
                <w:rFonts w:ascii="Times New Roman" w:hAnsi="Times New Roman" w:eastAsia="宋体" w:cs="Times New Roman"/>
                <w:bCs/>
                <w:snapToGrid w:val="0"/>
                <w:kern w:val="32"/>
                <w:sz w:val="24"/>
                <w:lang w:eastAsia="zh-Hans"/>
              </w:rPr>
            </w:pPr>
            <w:r>
              <w:rPr>
                <w:rFonts w:ascii="Times New Roman" w:hAnsi="Times New Roman" w:eastAsia="宋体" w:cs="Times New Roman"/>
                <w:bCs/>
                <w:snapToGrid w:val="0"/>
                <w:color w:val="000000"/>
                <w:kern w:val="0"/>
                <w:sz w:val="24"/>
              </w:rPr>
              <w:t>一票否决项</w:t>
            </w:r>
          </w:p>
        </w:tc>
        <w:tc>
          <w:tcPr>
            <w:tcW w:w="1662" w:type="dxa"/>
            <w:vAlign w:val="center"/>
          </w:tcPr>
          <w:p>
            <w:pPr>
              <w:widowControl/>
              <w:jc w:val="center"/>
              <w:rPr>
                <w:rFonts w:ascii="Times New Roman" w:hAnsi="Times New Roman" w:eastAsia="宋体" w:cs="Times New Roman"/>
                <w:bCs/>
                <w:snapToGrid w:val="0"/>
                <w:color w:val="000000"/>
                <w:kern w:val="0"/>
                <w:sz w:val="24"/>
              </w:rPr>
            </w:pPr>
            <w:r>
              <w:rPr>
                <w:rFonts w:ascii="Times New Roman" w:hAnsi="Times New Roman" w:eastAsia="宋体" w:cs="Times New Roman"/>
                <w:bCs/>
                <w:snapToGrid w:val="0"/>
                <w:color w:val="000000"/>
                <w:kern w:val="0"/>
                <w:sz w:val="24"/>
              </w:rPr>
              <w:t>安全事故</w:t>
            </w:r>
          </w:p>
        </w:tc>
        <w:tc>
          <w:tcPr>
            <w:tcW w:w="713" w:type="dxa"/>
            <w:vMerge w:val="restart"/>
            <w:vAlign w:val="center"/>
          </w:tcPr>
          <w:p>
            <w:pPr>
              <w:widowControl/>
              <w:jc w:val="center"/>
              <w:rPr>
                <w:rFonts w:ascii="Times New Roman" w:hAnsi="Times New Roman" w:eastAsia="宋体" w:cs="Times New Roman"/>
                <w:bCs/>
                <w:snapToGrid w:val="0"/>
                <w:color w:val="000000"/>
                <w:kern w:val="32"/>
                <w:sz w:val="24"/>
              </w:rPr>
            </w:pPr>
            <w:r>
              <w:rPr>
                <w:rFonts w:ascii="Times New Roman" w:hAnsi="Times New Roman" w:eastAsia="宋体" w:cs="Times New Roman"/>
                <w:bCs/>
                <w:snapToGrid w:val="0"/>
                <w:color w:val="000000"/>
                <w:kern w:val="0"/>
                <w:sz w:val="24"/>
              </w:rPr>
              <w:t>一票否决项</w:t>
            </w:r>
          </w:p>
        </w:tc>
        <w:tc>
          <w:tcPr>
            <w:tcW w:w="1425" w:type="dxa"/>
            <w:vAlign w:val="center"/>
          </w:tcPr>
          <w:p>
            <w:pPr>
              <w:widowControl/>
              <w:jc w:val="center"/>
              <w:rPr>
                <w:rFonts w:ascii="Times New Roman" w:hAnsi="Times New Roman" w:eastAsia="宋体" w:cs="Times New Roman"/>
                <w:bCs/>
                <w:snapToGrid w:val="0"/>
                <w:color w:val="000000"/>
                <w:kern w:val="0"/>
                <w:sz w:val="24"/>
              </w:rPr>
            </w:pPr>
            <w:r>
              <w:rPr>
                <w:rFonts w:ascii="Times New Roman" w:hAnsi="Times New Roman" w:eastAsia="宋体" w:cs="Times New Roman"/>
                <w:bCs/>
                <w:snapToGrid w:val="0"/>
                <w:color w:val="000000"/>
                <w:kern w:val="0"/>
                <w:sz w:val="24"/>
              </w:rPr>
              <w:t>安全事故</w:t>
            </w:r>
          </w:p>
        </w:tc>
        <w:tc>
          <w:tcPr>
            <w:tcW w:w="713" w:type="dxa"/>
            <w:vMerge w:val="restart"/>
            <w:vAlign w:val="center"/>
          </w:tcPr>
          <w:p>
            <w:pPr>
              <w:widowControl/>
              <w:jc w:val="center"/>
              <w:rPr>
                <w:rFonts w:ascii="Times New Roman" w:hAnsi="Times New Roman" w:eastAsia="宋体" w:cs="Times New Roman"/>
                <w:bCs/>
                <w:snapToGrid w:val="0"/>
                <w:color w:val="000000"/>
                <w:kern w:val="32"/>
                <w:sz w:val="24"/>
              </w:rPr>
            </w:pPr>
            <w:r>
              <w:rPr>
                <w:rFonts w:ascii="Times New Roman" w:hAnsi="Times New Roman" w:eastAsia="宋体" w:cs="Times New Roman"/>
                <w:bCs/>
                <w:snapToGrid w:val="0"/>
                <w:color w:val="000000"/>
                <w:kern w:val="0"/>
                <w:sz w:val="24"/>
              </w:rPr>
              <w:t>一票否决项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continue"/>
            <w:vAlign w:val="center"/>
          </w:tcPr>
          <w:p>
            <w:pPr>
              <w:widowControl/>
              <w:jc w:val="center"/>
              <w:rPr>
                <w:rFonts w:ascii="Times New Roman" w:hAnsi="Times New Roman" w:eastAsia="宋体" w:cs="Times New Roman"/>
                <w:bCs/>
                <w:snapToGrid w:val="0"/>
                <w:kern w:val="32"/>
                <w:sz w:val="24"/>
              </w:rPr>
            </w:pPr>
          </w:p>
        </w:tc>
        <w:tc>
          <w:tcPr>
            <w:tcW w:w="636"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2</w:t>
            </w:r>
          </w:p>
        </w:tc>
        <w:tc>
          <w:tcPr>
            <w:tcW w:w="1902" w:type="dxa"/>
            <w:gridSpan w:val="2"/>
            <w:vAlign w:val="center"/>
          </w:tcPr>
          <w:p>
            <w:pPr>
              <w:widowControl/>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lang w:eastAsia="zh-Hans"/>
              </w:rPr>
              <w:t>严重隐患</w:t>
            </w:r>
          </w:p>
        </w:tc>
        <w:tc>
          <w:tcPr>
            <w:tcW w:w="713" w:type="dxa"/>
            <w:vMerge w:val="continue"/>
            <w:vAlign w:val="center"/>
          </w:tcPr>
          <w:p>
            <w:pPr>
              <w:widowControl/>
              <w:jc w:val="center"/>
              <w:rPr>
                <w:rFonts w:ascii="Times New Roman" w:hAnsi="Times New Roman" w:eastAsia="宋体" w:cs="Times New Roman"/>
                <w:bCs/>
                <w:snapToGrid w:val="0"/>
                <w:kern w:val="32"/>
                <w:sz w:val="24"/>
                <w:lang w:eastAsia="zh-Hans"/>
              </w:rPr>
            </w:pPr>
          </w:p>
        </w:tc>
        <w:tc>
          <w:tcPr>
            <w:tcW w:w="1662" w:type="dxa"/>
            <w:vAlign w:val="center"/>
          </w:tcPr>
          <w:p>
            <w:pPr>
              <w:widowControl/>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lang w:eastAsia="zh-Hans"/>
              </w:rPr>
              <w:t>严重隐患</w:t>
            </w:r>
          </w:p>
        </w:tc>
        <w:tc>
          <w:tcPr>
            <w:tcW w:w="713" w:type="dxa"/>
            <w:vMerge w:val="continue"/>
            <w:vAlign w:val="center"/>
          </w:tcPr>
          <w:p>
            <w:pPr>
              <w:jc w:val="center"/>
              <w:rPr>
                <w:rFonts w:ascii="Times New Roman" w:hAnsi="Times New Roman" w:eastAsia="宋体" w:cs="Times New Roman"/>
                <w:bCs/>
                <w:snapToGrid w:val="0"/>
                <w:color w:val="000000"/>
                <w:kern w:val="32"/>
                <w:sz w:val="24"/>
              </w:rPr>
            </w:pPr>
          </w:p>
        </w:tc>
        <w:tc>
          <w:tcPr>
            <w:tcW w:w="1425" w:type="dxa"/>
            <w:vAlign w:val="center"/>
          </w:tcPr>
          <w:p>
            <w:pPr>
              <w:widowControl/>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lang w:eastAsia="zh-Hans"/>
              </w:rPr>
              <w:t>严重隐患</w:t>
            </w:r>
          </w:p>
        </w:tc>
        <w:tc>
          <w:tcPr>
            <w:tcW w:w="713" w:type="dxa"/>
            <w:vMerge w:val="continue"/>
            <w:vAlign w:val="center"/>
          </w:tcPr>
          <w:p>
            <w:pPr>
              <w:jc w:val="center"/>
              <w:rPr>
                <w:rFonts w:ascii="Times New Roman" w:hAnsi="Times New Roman" w:eastAsia="宋体" w:cs="Times New Roman"/>
                <w:bCs/>
                <w:snapToGrid w:val="0"/>
                <w:color w:val="000000"/>
                <w:kern w:val="3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755" w:type="dxa"/>
            <w:vMerge w:val="continue"/>
            <w:vAlign w:val="center"/>
          </w:tcPr>
          <w:p>
            <w:pPr>
              <w:widowControl/>
              <w:jc w:val="center"/>
              <w:rPr>
                <w:rFonts w:ascii="Times New Roman" w:hAnsi="Times New Roman" w:eastAsia="宋体" w:cs="Times New Roman"/>
                <w:bCs/>
                <w:snapToGrid w:val="0"/>
                <w:kern w:val="32"/>
                <w:sz w:val="24"/>
              </w:rPr>
            </w:pPr>
          </w:p>
        </w:tc>
        <w:tc>
          <w:tcPr>
            <w:tcW w:w="636"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3</w:t>
            </w:r>
          </w:p>
        </w:tc>
        <w:tc>
          <w:tcPr>
            <w:tcW w:w="1902" w:type="dxa"/>
            <w:gridSpan w:val="2"/>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lang w:eastAsia="zh-Hans"/>
              </w:rPr>
              <w:t>一般</w:t>
            </w:r>
            <w:r>
              <w:rPr>
                <w:rFonts w:ascii="Times New Roman" w:hAnsi="Times New Roman" w:eastAsia="宋体" w:cs="Times New Roman"/>
                <w:bCs/>
                <w:snapToGrid w:val="0"/>
                <w:kern w:val="32"/>
                <w:sz w:val="24"/>
              </w:rPr>
              <w:t>隐患</w:t>
            </w:r>
            <w:r>
              <w:rPr>
                <w:rFonts w:hint="eastAsia" w:ascii="Times New Roman" w:hAnsi="Times New Roman" w:eastAsia="宋体" w:cs="Times New Roman"/>
                <w:bCs/>
                <w:snapToGrid w:val="0"/>
                <w:kern w:val="32"/>
                <w:sz w:val="24"/>
                <w:lang w:eastAsia="zh-Hans"/>
              </w:rPr>
              <w:t>整改</w:t>
            </w:r>
            <w:r>
              <w:rPr>
                <w:rFonts w:hint="eastAsia" w:ascii="Times New Roman" w:hAnsi="Times New Roman" w:eastAsia="宋体" w:cs="Times New Roman"/>
                <w:bCs/>
                <w:snapToGrid w:val="0"/>
                <w:kern w:val="32"/>
                <w:sz w:val="24"/>
              </w:rPr>
              <w:t>及时性</w:t>
            </w:r>
          </w:p>
        </w:tc>
        <w:tc>
          <w:tcPr>
            <w:tcW w:w="713" w:type="dxa"/>
            <w:vMerge w:val="continue"/>
            <w:vAlign w:val="center"/>
          </w:tcPr>
          <w:p>
            <w:pPr>
              <w:widowControl/>
              <w:jc w:val="center"/>
              <w:rPr>
                <w:rFonts w:ascii="Times New Roman" w:hAnsi="Times New Roman" w:eastAsia="宋体" w:cs="Times New Roman"/>
                <w:bCs/>
                <w:snapToGrid w:val="0"/>
                <w:kern w:val="32"/>
                <w:sz w:val="24"/>
                <w:lang w:eastAsia="zh-Hans"/>
              </w:rPr>
            </w:pPr>
          </w:p>
        </w:tc>
        <w:tc>
          <w:tcPr>
            <w:tcW w:w="1662" w:type="dxa"/>
            <w:vAlign w:val="center"/>
          </w:tcPr>
          <w:p>
            <w:pPr>
              <w:widowControl/>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lang w:eastAsia="zh-Hans"/>
              </w:rPr>
              <w:t>一般</w:t>
            </w:r>
            <w:r>
              <w:rPr>
                <w:rFonts w:ascii="Times New Roman" w:hAnsi="Times New Roman" w:eastAsia="宋体" w:cs="Times New Roman"/>
                <w:bCs/>
                <w:snapToGrid w:val="0"/>
                <w:kern w:val="32"/>
                <w:sz w:val="24"/>
              </w:rPr>
              <w:t>隐患</w:t>
            </w:r>
            <w:r>
              <w:rPr>
                <w:rFonts w:hint="eastAsia" w:ascii="Times New Roman" w:hAnsi="Times New Roman" w:eastAsia="宋体" w:cs="Times New Roman"/>
                <w:bCs/>
                <w:snapToGrid w:val="0"/>
                <w:kern w:val="32"/>
                <w:sz w:val="24"/>
                <w:lang w:eastAsia="zh-Hans"/>
              </w:rPr>
              <w:t>整改</w:t>
            </w:r>
            <w:r>
              <w:rPr>
                <w:rFonts w:hint="eastAsia" w:ascii="Times New Roman" w:hAnsi="Times New Roman" w:eastAsia="宋体" w:cs="Times New Roman"/>
                <w:bCs/>
                <w:snapToGrid w:val="0"/>
                <w:kern w:val="32"/>
                <w:sz w:val="24"/>
              </w:rPr>
              <w:t>及时性</w:t>
            </w:r>
          </w:p>
        </w:tc>
        <w:tc>
          <w:tcPr>
            <w:tcW w:w="713" w:type="dxa"/>
            <w:vMerge w:val="continue"/>
            <w:vAlign w:val="center"/>
          </w:tcPr>
          <w:p>
            <w:pPr>
              <w:jc w:val="center"/>
              <w:rPr>
                <w:rFonts w:ascii="Times New Roman" w:hAnsi="Times New Roman" w:eastAsia="宋体" w:cs="Times New Roman"/>
                <w:bCs/>
                <w:snapToGrid w:val="0"/>
                <w:color w:val="000000"/>
                <w:kern w:val="32"/>
                <w:sz w:val="24"/>
              </w:rPr>
            </w:pPr>
          </w:p>
        </w:tc>
        <w:tc>
          <w:tcPr>
            <w:tcW w:w="1425" w:type="dxa"/>
            <w:vAlign w:val="center"/>
          </w:tcPr>
          <w:p>
            <w:pPr>
              <w:widowControl/>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lang w:eastAsia="zh-Hans"/>
              </w:rPr>
              <w:t>一般</w:t>
            </w:r>
            <w:r>
              <w:rPr>
                <w:rFonts w:ascii="Times New Roman" w:hAnsi="Times New Roman" w:eastAsia="宋体" w:cs="Times New Roman"/>
                <w:bCs/>
                <w:snapToGrid w:val="0"/>
                <w:kern w:val="32"/>
                <w:sz w:val="24"/>
              </w:rPr>
              <w:t>隐患</w:t>
            </w:r>
            <w:r>
              <w:rPr>
                <w:rFonts w:hint="eastAsia" w:ascii="Times New Roman" w:hAnsi="Times New Roman" w:eastAsia="宋体" w:cs="Times New Roman"/>
                <w:bCs/>
                <w:snapToGrid w:val="0"/>
                <w:kern w:val="32"/>
                <w:sz w:val="24"/>
                <w:lang w:eastAsia="zh-Hans"/>
              </w:rPr>
              <w:t>整改</w:t>
            </w:r>
            <w:r>
              <w:rPr>
                <w:rFonts w:hint="eastAsia" w:ascii="Times New Roman" w:hAnsi="Times New Roman" w:eastAsia="宋体" w:cs="Times New Roman"/>
                <w:bCs/>
                <w:snapToGrid w:val="0"/>
                <w:kern w:val="32"/>
                <w:sz w:val="24"/>
              </w:rPr>
              <w:t>及时性</w:t>
            </w:r>
          </w:p>
        </w:tc>
        <w:tc>
          <w:tcPr>
            <w:tcW w:w="713" w:type="dxa"/>
            <w:vMerge w:val="continue"/>
            <w:vAlign w:val="center"/>
          </w:tcPr>
          <w:p>
            <w:pPr>
              <w:jc w:val="center"/>
              <w:rPr>
                <w:rFonts w:ascii="Times New Roman" w:hAnsi="Times New Roman" w:eastAsia="宋体" w:cs="Times New Roman"/>
                <w:bCs/>
                <w:snapToGrid w:val="0"/>
                <w:color w:val="000000"/>
                <w:kern w:val="3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55" w:type="dxa"/>
            <w:vMerge w:val="restart"/>
            <w:vAlign w:val="center"/>
          </w:tcPr>
          <w:p>
            <w:pPr>
              <w:jc w:val="center"/>
              <w:rPr>
                <w:rFonts w:ascii="Times New Roman" w:hAnsi="Times New Roman" w:eastAsia="宋体" w:cs="Times New Roman"/>
                <w:bCs/>
                <w:snapToGrid w:val="0"/>
                <w:kern w:val="32"/>
                <w:sz w:val="24"/>
                <w:lang w:eastAsia="zh-Hans"/>
              </w:rPr>
            </w:pPr>
          </w:p>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lang w:eastAsia="zh-Hans"/>
              </w:rPr>
              <w:t>可用性</w:t>
            </w:r>
          </w:p>
        </w:tc>
        <w:tc>
          <w:tcPr>
            <w:tcW w:w="636"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4</w:t>
            </w:r>
          </w:p>
        </w:tc>
        <w:tc>
          <w:tcPr>
            <w:tcW w:w="1902" w:type="dxa"/>
            <w:gridSpan w:val="2"/>
            <w:vAlign w:val="center"/>
          </w:tcPr>
          <w:p>
            <w:pPr>
              <w:jc w:val="center"/>
              <w:rPr>
                <w:rFonts w:ascii="Times New Roman" w:hAnsi="Times New Roman" w:eastAsia="宋体" w:cs="Times New Roman"/>
                <w:bCs/>
                <w:snapToGrid w:val="0"/>
                <w:kern w:val="32"/>
                <w:sz w:val="24"/>
                <w:lang w:eastAsia="zh-Hans"/>
              </w:rPr>
            </w:pPr>
            <w:r>
              <w:rPr>
                <w:rFonts w:ascii="Times New Roman" w:hAnsi="Times New Roman" w:eastAsia="宋体" w:cs="Times New Roman"/>
                <w:bCs/>
                <w:snapToGrid w:val="0"/>
                <w:kern w:val="32"/>
                <w:sz w:val="24"/>
              </w:rPr>
              <w:t>平均利用率</w:t>
            </w:r>
          </w:p>
        </w:tc>
        <w:tc>
          <w:tcPr>
            <w:tcW w:w="713"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15</w:t>
            </w:r>
          </w:p>
        </w:tc>
        <w:tc>
          <w:tcPr>
            <w:tcW w:w="1662" w:type="dxa"/>
            <w:vAlign w:val="center"/>
          </w:tcPr>
          <w:p>
            <w:pPr>
              <w:jc w:val="center"/>
              <w:rPr>
                <w:rFonts w:ascii="Times New Roman" w:hAnsi="Times New Roman" w:eastAsia="宋体" w:cs="Times New Roman"/>
                <w:bCs/>
                <w:snapToGrid w:val="0"/>
                <w:kern w:val="32"/>
                <w:sz w:val="24"/>
                <w:lang w:eastAsia="zh-Hans"/>
              </w:rPr>
            </w:pPr>
            <w:r>
              <w:rPr>
                <w:rFonts w:ascii="Times New Roman" w:hAnsi="Times New Roman" w:eastAsia="宋体" w:cs="Times New Roman"/>
                <w:bCs/>
                <w:snapToGrid w:val="0"/>
                <w:kern w:val="32"/>
                <w:sz w:val="24"/>
              </w:rPr>
              <w:t>平均利用率</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15</w:t>
            </w:r>
          </w:p>
        </w:tc>
        <w:tc>
          <w:tcPr>
            <w:tcW w:w="1425"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电池平均周转率</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55" w:type="dxa"/>
            <w:vMerge w:val="continue"/>
            <w:vAlign w:val="center"/>
          </w:tcPr>
          <w:p>
            <w:pPr>
              <w:jc w:val="center"/>
              <w:rPr>
                <w:rFonts w:ascii="Times New Roman" w:hAnsi="Times New Roman" w:eastAsia="宋体" w:cs="Times New Roman"/>
                <w:bCs/>
                <w:snapToGrid w:val="0"/>
                <w:kern w:val="32"/>
                <w:sz w:val="24"/>
              </w:rPr>
            </w:pPr>
          </w:p>
        </w:tc>
        <w:tc>
          <w:tcPr>
            <w:tcW w:w="636"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5</w:t>
            </w:r>
          </w:p>
        </w:tc>
        <w:tc>
          <w:tcPr>
            <w:tcW w:w="1902" w:type="dxa"/>
            <w:gridSpan w:val="2"/>
            <w:vAlign w:val="center"/>
          </w:tcPr>
          <w:p>
            <w:pPr>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平均故障率</w:t>
            </w:r>
          </w:p>
        </w:tc>
        <w:tc>
          <w:tcPr>
            <w:tcW w:w="713"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15</w:t>
            </w:r>
          </w:p>
        </w:tc>
        <w:tc>
          <w:tcPr>
            <w:tcW w:w="1662" w:type="dxa"/>
            <w:vAlign w:val="center"/>
          </w:tcPr>
          <w:p>
            <w:pPr>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平均故障率</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kern w:val="32"/>
                <w:sz w:val="24"/>
              </w:rPr>
              <w:t>10</w:t>
            </w:r>
          </w:p>
        </w:tc>
        <w:tc>
          <w:tcPr>
            <w:tcW w:w="1425" w:type="dxa"/>
            <w:vAlign w:val="center"/>
          </w:tcPr>
          <w:p>
            <w:pPr>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平均故障率</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continue"/>
            <w:vAlign w:val="center"/>
          </w:tcPr>
          <w:p>
            <w:pPr>
              <w:jc w:val="center"/>
              <w:rPr>
                <w:rFonts w:ascii="Times New Roman" w:hAnsi="Times New Roman" w:eastAsia="宋体" w:cs="Times New Roman"/>
                <w:bCs/>
                <w:snapToGrid w:val="0"/>
                <w:kern w:val="32"/>
                <w:sz w:val="24"/>
              </w:rPr>
            </w:pPr>
          </w:p>
        </w:tc>
        <w:tc>
          <w:tcPr>
            <w:tcW w:w="636"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6</w:t>
            </w:r>
          </w:p>
        </w:tc>
        <w:tc>
          <w:tcPr>
            <w:tcW w:w="1902" w:type="dxa"/>
            <w:gridSpan w:val="2"/>
            <w:vAlign w:val="center"/>
          </w:tcPr>
          <w:p>
            <w:pPr>
              <w:widowControl/>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信息准确性</w:t>
            </w:r>
          </w:p>
        </w:tc>
        <w:tc>
          <w:tcPr>
            <w:tcW w:w="713"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10</w:t>
            </w:r>
          </w:p>
        </w:tc>
        <w:tc>
          <w:tcPr>
            <w:tcW w:w="1662" w:type="dxa"/>
            <w:vAlign w:val="center"/>
          </w:tcPr>
          <w:p>
            <w:pPr>
              <w:widowControl/>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信息准确性</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10</w:t>
            </w:r>
          </w:p>
        </w:tc>
        <w:tc>
          <w:tcPr>
            <w:tcW w:w="1425" w:type="dxa"/>
            <w:vAlign w:val="center"/>
          </w:tcPr>
          <w:p>
            <w:pPr>
              <w:widowControl/>
              <w:jc w:val="center"/>
              <w:rPr>
                <w:rFonts w:ascii="Times New Roman" w:hAnsi="Times New Roman" w:eastAsia="宋体" w:cs="Times New Roman"/>
                <w:bCs/>
                <w:snapToGrid w:val="0"/>
                <w:kern w:val="32"/>
                <w:sz w:val="24"/>
                <w:lang w:eastAsia="zh-Hans"/>
              </w:rPr>
            </w:pPr>
            <w:r>
              <w:rPr>
                <w:rFonts w:ascii="Times New Roman" w:hAnsi="Times New Roman" w:eastAsia="宋体" w:cs="Times New Roman"/>
                <w:bCs/>
                <w:snapToGrid w:val="0"/>
                <w:kern w:val="32"/>
                <w:sz w:val="24"/>
              </w:rPr>
              <w:t>信息准确性</w:t>
            </w:r>
          </w:p>
        </w:tc>
        <w:tc>
          <w:tcPr>
            <w:tcW w:w="713" w:type="dxa"/>
            <w:vAlign w:val="center"/>
          </w:tcPr>
          <w:p>
            <w:pPr>
              <w:jc w:val="center"/>
              <w:rPr>
                <w:rFonts w:ascii="Times New Roman" w:hAnsi="Times New Roman" w:eastAsia="宋体" w:cs="Times New Roman"/>
                <w:bCs/>
                <w:snapToGrid w:val="0"/>
                <w:color w:val="000000"/>
                <w:kern w:val="32"/>
                <w:sz w:val="24"/>
              </w:rPr>
            </w:pPr>
            <w:r>
              <w:rPr>
                <w:rFonts w:ascii="Times New Roman" w:hAnsi="Times New Roman" w:eastAsia="宋体" w:cs="Times New Roman"/>
                <w:bCs/>
                <w:snapToGrid w:val="0"/>
                <w:color w:val="000000"/>
                <w:kern w:val="32"/>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continue"/>
            <w:vAlign w:val="center"/>
          </w:tcPr>
          <w:p>
            <w:pPr>
              <w:jc w:val="center"/>
              <w:rPr>
                <w:rFonts w:ascii="Times New Roman" w:hAnsi="Times New Roman" w:eastAsia="宋体" w:cs="Times New Roman"/>
                <w:bCs/>
                <w:snapToGrid w:val="0"/>
                <w:kern w:val="32"/>
                <w:sz w:val="24"/>
                <w:lang w:eastAsia="zh-Hans"/>
              </w:rPr>
            </w:pPr>
          </w:p>
        </w:tc>
        <w:tc>
          <w:tcPr>
            <w:tcW w:w="636"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7</w:t>
            </w:r>
          </w:p>
        </w:tc>
        <w:tc>
          <w:tcPr>
            <w:tcW w:w="1902" w:type="dxa"/>
            <w:gridSpan w:val="2"/>
            <w:vAlign w:val="center"/>
          </w:tcPr>
          <w:p>
            <w:pPr>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舆情</w:t>
            </w:r>
            <w:r>
              <w:rPr>
                <w:rFonts w:hint="eastAsia" w:ascii="Times New Roman" w:hAnsi="Times New Roman" w:eastAsia="宋体" w:cs="Times New Roman"/>
                <w:bCs/>
                <w:snapToGrid w:val="0"/>
                <w:kern w:val="32"/>
                <w:sz w:val="24"/>
              </w:rPr>
              <w:t>及负面清单</w:t>
            </w:r>
          </w:p>
        </w:tc>
        <w:tc>
          <w:tcPr>
            <w:tcW w:w="713"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10</w:t>
            </w:r>
          </w:p>
        </w:tc>
        <w:tc>
          <w:tcPr>
            <w:tcW w:w="1662" w:type="dxa"/>
            <w:vAlign w:val="center"/>
          </w:tcPr>
          <w:p>
            <w:pPr>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舆情</w:t>
            </w:r>
            <w:r>
              <w:rPr>
                <w:rFonts w:hint="eastAsia" w:ascii="Times New Roman" w:hAnsi="Times New Roman" w:eastAsia="宋体" w:cs="Times New Roman"/>
                <w:bCs/>
                <w:snapToGrid w:val="0"/>
                <w:kern w:val="32"/>
                <w:sz w:val="24"/>
              </w:rPr>
              <w:t>及负面清单</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10</w:t>
            </w:r>
          </w:p>
        </w:tc>
        <w:tc>
          <w:tcPr>
            <w:tcW w:w="1425" w:type="dxa"/>
            <w:vAlign w:val="center"/>
          </w:tcPr>
          <w:p>
            <w:pPr>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舆情</w:t>
            </w:r>
            <w:r>
              <w:rPr>
                <w:rFonts w:hint="eastAsia" w:ascii="Times New Roman" w:hAnsi="Times New Roman" w:eastAsia="宋体" w:cs="Times New Roman"/>
                <w:bCs/>
                <w:snapToGrid w:val="0"/>
                <w:kern w:val="32"/>
                <w:sz w:val="24"/>
              </w:rPr>
              <w:t>及负面清单</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continue"/>
            <w:vAlign w:val="center"/>
          </w:tcPr>
          <w:p>
            <w:pPr>
              <w:jc w:val="center"/>
              <w:rPr>
                <w:rFonts w:ascii="Times New Roman" w:hAnsi="Times New Roman" w:eastAsia="宋体" w:cs="Times New Roman"/>
                <w:bCs/>
                <w:snapToGrid w:val="0"/>
                <w:kern w:val="32"/>
                <w:sz w:val="24"/>
                <w:lang w:eastAsia="zh-Hans"/>
              </w:rPr>
            </w:pPr>
          </w:p>
        </w:tc>
        <w:tc>
          <w:tcPr>
            <w:tcW w:w="636"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8</w:t>
            </w:r>
          </w:p>
        </w:tc>
        <w:tc>
          <w:tcPr>
            <w:tcW w:w="1902" w:type="dxa"/>
            <w:gridSpan w:val="2"/>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零电量充电站占比</w:t>
            </w:r>
          </w:p>
        </w:tc>
        <w:tc>
          <w:tcPr>
            <w:tcW w:w="713" w:type="dxa"/>
            <w:vAlign w:val="center"/>
          </w:tcPr>
          <w:p>
            <w:pPr>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10</w:t>
            </w:r>
          </w:p>
        </w:tc>
        <w:tc>
          <w:tcPr>
            <w:tcW w:w="1662"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零电量充电站占比</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kern w:val="32"/>
                <w:sz w:val="24"/>
              </w:rPr>
              <w:t>1</w:t>
            </w:r>
            <w:r>
              <w:rPr>
                <w:rFonts w:ascii="Times New Roman" w:hAnsi="Times New Roman" w:eastAsia="宋体" w:cs="Times New Roman"/>
                <w:bCs/>
                <w:snapToGrid w:val="0"/>
                <w:kern w:val="32"/>
                <w:sz w:val="24"/>
              </w:rPr>
              <w:t>0</w:t>
            </w:r>
          </w:p>
        </w:tc>
        <w:tc>
          <w:tcPr>
            <w:tcW w:w="1425"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755" w:type="dxa"/>
            <w:vMerge w:val="restart"/>
            <w:vAlign w:val="center"/>
          </w:tcPr>
          <w:p>
            <w:pPr>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lang w:eastAsia="zh-Hans"/>
              </w:rPr>
              <w:t>及时性</w:t>
            </w:r>
          </w:p>
        </w:tc>
        <w:tc>
          <w:tcPr>
            <w:tcW w:w="636"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9</w:t>
            </w:r>
          </w:p>
        </w:tc>
        <w:tc>
          <w:tcPr>
            <w:tcW w:w="1902" w:type="dxa"/>
            <w:gridSpan w:val="2"/>
            <w:vAlign w:val="center"/>
          </w:tcPr>
          <w:p>
            <w:pPr>
              <w:widowControl/>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rPr>
              <w:t>故障</w:t>
            </w:r>
            <w:r>
              <w:rPr>
                <w:rFonts w:ascii="Times New Roman" w:hAnsi="Times New Roman" w:eastAsia="宋体" w:cs="Times New Roman"/>
                <w:bCs/>
                <w:snapToGrid w:val="0"/>
                <w:kern w:val="32"/>
                <w:sz w:val="24"/>
              </w:rPr>
              <w:t>解决及时性</w:t>
            </w:r>
          </w:p>
        </w:tc>
        <w:tc>
          <w:tcPr>
            <w:tcW w:w="713"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15</w:t>
            </w:r>
          </w:p>
        </w:tc>
        <w:tc>
          <w:tcPr>
            <w:tcW w:w="1662"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故障</w:t>
            </w:r>
            <w:r>
              <w:rPr>
                <w:rFonts w:ascii="Times New Roman" w:hAnsi="Times New Roman" w:eastAsia="宋体" w:cs="Times New Roman"/>
                <w:bCs/>
                <w:snapToGrid w:val="0"/>
                <w:kern w:val="32"/>
                <w:sz w:val="24"/>
              </w:rPr>
              <w:t>解决及时性</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15</w:t>
            </w:r>
          </w:p>
        </w:tc>
        <w:tc>
          <w:tcPr>
            <w:tcW w:w="1425"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故障</w:t>
            </w:r>
            <w:r>
              <w:rPr>
                <w:rFonts w:ascii="Times New Roman" w:hAnsi="Times New Roman" w:eastAsia="宋体" w:cs="Times New Roman"/>
                <w:bCs/>
                <w:snapToGrid w:val="0"/>
                <w:kern w:val="32"/>
                <w:sz w:val="24"/>
              </w:rPr>
              <w:t>解决及时性</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755" w:type="dxa"/>
            <w:vMerge w:val="continue"/>
            <w:vAlign w:val="center"/>
          </w:tcPr>
          <w:p>
            <w:pPr>
              <w:jc w:val="center"/>
              <w:rPr>
                <w:rFonts w:ascii="Times New Roman" w:hAnsi="Times New Roman" w:eastAsia="宋体" w:cs="Times New Roman"/>
                <w:bCs/>
                <w:snapToGrid w:val="0"/>
                <w:kern w:val="32"/>
                <w:sz w:val="24"/>
                <w:lang w:eastAsia="zh-Hans"/>
              </w:rPr>
            </w:pPr>
          </w:p>
        </w:tc>
        <w:tc>
          <w:tcPr>
            <w:tcW w:w="636"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w:t>
            </w:r>
            <w:r>
              <w:rPr>
                <w:rFonts w:ascii="Times New Roman" w:hAnsi="Times New Roman" w:eastAsia="宋体" w:cs="Times New Roman"/>
                <w:bCs/>
                <w:snapToGrid w:val="0"/>
                <w:kern w:val="32"/>
                <w:sz w:val="24"/>
              </w:rPr>
              <w:t>0</w:t>
            </w:r>
          </w:p>
        </w:tc>
        <w:tc>
          <w:tcPr>
            <w:tcW w:w="1902" w:type="dxa"/>
            <w:gridSpan w:val="2"/>
            <w:vAlign w:val="center"/>
          </w:tcPr>
          <w:p>
            <w:pPr>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设施管理及时性</w:t>
            </w:r>
          </w:p>
        </w:tc>
        <w:tc>
          <w:tcPr>
            <w:tcW w:w="713"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10</w:t>
            </w:r>
          </w:p>
        </w:tc>
        <w:tc>
          <w:tcPr>
            <w:tcW w:w="1662" w:type="dxa"/>
            <w:vAlign w:val="center"/>
          </w:tcPr>
          <w:p>
            <w:pPr>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设施管理及时性</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10</w:t>
            </w:r>
          </w:p>
        </w:tc>
        <w:tc>
          <w:tcPr>
            <w:tcW w:w="1425" w:type="dxa"/>
            <w:vAlign w:val="center"/>
          </w:tcPr>
          <w:p>
            <w:pPr>
              <w:widowControl/>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设施管理及时性</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55" w:type="dxa"/>
            <w:vMerge w:val="continue"/>
            <w:vAlign w:val="center"/>
          </w:tcPr>
          <w:p>
            <w:pPr>
              <w:jc w:val="center"/>
              <w:rPr>
                <w:rFonts w:ascii="Times New Roman" w:hAnsi="Times New Roman" w:eastAsia="宋体" w:cs="Times New Roman"/>
                <w:bCs/>
                <w:snapToGrid w:val="0"/>
                <w:kern w:val="32"/>
                <w:sz w:val="24"/>
                <w:lang w:eastAsia="zh-Hans"/>
              </w:rPr>
            </w:pPr>
          </w:p>
        </w:tc>
        <w:tc>
          <w:tcPr>
            <w:tcW w:w="636"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w:t>
            </w:r>
            <w:r>
              <w:rPr>
                <w:rFonts w:ascii="Times New Roman" w:hAnsi="Times New Roman" w:eastAsia="宋体" w:cs="Times New Roman"/>
                <w:bCs/>
                <w:snapToGrid w:val="0"/>
                <w:kern w:val="32"/>
                <w:sz w:val="24"/>
              </w:rPr>
              <w:t>1</w:t>
            </w:r>
          </w:p>
        </w:tc>
        <w:tc>
          <w:tcPr>
            <w:tcW w:w="1902" w:type="dxa"/>
            <w:gridSpan w:val="2"/>
            <w:vAlign w:val="center"/>
          </w:tcPr>
          <w:p>
            <w:pPr>
              <w:widowControl/>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状态固定推送及时率</w:t>
            </w:r>
          </w:p>
        </w:tc>
        <w:tc>
          <w:tcPr>
            <w:tcW w:w="713"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5</w:t>
            </w:r>
          </w:p>
        </w:tc>
        <w:tc>
          <w:tcPr>
            <w:tcW w:w="1662" w:type="dxa"/>
            <w:vAlign w:val="center"/>
          </w:tcPr>
          <w:p>
            <w:pPr>
              <w:widowControl/>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状态固定推送及时率</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5</w:t>
            </w:r>
          </w:p>
        </w:tc>
        <w:tc>
          <w:tcPr>
            <w:tcW w:w="1425" w:type="dxa"/>
            <w:vAlign w:val="center"/>
          </w:tcPr>
          <w:p>
            <w:pPr>
              <w:widowControl/>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状态</w:t>
            </w:r>
            <w:r>
              <w:rPr>
                <w:rFonts w:hint="eastAsia" w:ascii="Times New Roman" w:hAnsi="Times New Roman" w:eastAsia="宋体" w:cs="Times New Roman"/>
                <w:bCs/>
                <w:snapToGrid w:val="0"/>
                <w:kern w:val="32"/>
                <w:sz w:val="24"/>
                <w:lang w:eastAsia="zh-Hans"/>
              </w:rPr>
              <w:t>固定</w:t>
            </w:r>
            <w:r>
              <w:rPr>
                <w:rFonts w:ascii="Times New Roman" w:hAnsi="Times New Roman" w:eastAsia="宋体" w:cs="Times New Roman"/>
                <w:bCs/>
                <w:snapToGrid w:val="0"/>
                <w:kern w:val="32"/>
                <w:sz w:val="24"/>
              </w:rPr>
              <w:t>推送及时率</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755" w:type="dxa"/>
            <w:vMerge w:val="continue"/>
            <w:vAlign w:val="center"/>
          </w:tcPr>
          <w:p>
            <w:pPr>
              <w:jc w:val="center"/>
              <w:rPr>
                <w:rFonts w:ascii="Times New Roman" w:hAnsi="Times New Roman" w:eastAsia="宋体" w:cs="Times New Roman"/>
                <w:bCs/>
                <w:snapToGrid w:val="0"/>
                <w:kern w:val="32"/>
                <w:sz w:val="24"/>
                <w:lang w:eastAsia="zh-Hans"/>
              </w:rPr>
            </w:pPr>
          </w:p>
        </w:tc>
        <w:tc>
          <w:tcPr>
            <w:tcW w:w="636"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w:t>
            </w:r>
            <w:r>
              <w:rPr>
                <w:rFonts w:ascii="Times New Roman" w:hAnsi="Times New Roman" w:eastAsia="宋体" w:cs="Times New Roman"/>
                <w:bCs/>
                <w:snapToGrid w:val="0"/>
                <w:kern w:val="32"/>
                <w:sz w:val="24"/>
              </w:rPr>
              <w:t>2</w:t>
            </w:r>
          </w:p>
        </w:tc>
        <w:tc>
          <w:tcPr>
            <w:tcW w:w="1902" w:type="dxa"/>
            <w:gridSpan w:val="2"/>
            <w:vMerge w:val="restart"/>
            <w:vAlign w:val="center"/>
          </w:tcPr>
          <w:p>
            <w:pPr>
              <w:widowControl/>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状态变化推送及时率</w:t>
            </w:r>
          </w:p>
        </w:tc>
        <w:tc>
          <w:tcPr>
            <w:tcW w:w="713" w:type="dxa"/>
            <w:vMerge w:val="restart"/>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10</w:t>
            </w:r>
          </w:p>
        </w:tc>
        <w:tc>
          <w:tcPr>
            <w:tcW w:w="1662" w:type="dxa"/>
            <w:vAlign w:val="center"/>
          </w:tcPr>
          <w:p>
            <w:pPr>
              <w:widowControl/>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状态变化推送及时率</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5</w:t>
            </w:r>
          </w:p>
        </w:tc>
        <w:tc>
          <w:tcPr>
            <w:tcW w:w="1425" w:type="dxa"/>
            <w:vMerge w:val="restart"/>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lang w:eastAsia="zh-Hans"/>
              </w:rPr>
              <w:t>谷电利用率</w:t>
            </w:r>
          </w:p>
        </w:tc>
        <w:tc>
          <w:tcPr>
            <w:tcW w:w="713" w:type="dxa"/>
            <w:vMerge w:val="restart"/>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continue"/>
            <w:vAlign w:val="center"/>
          </w:tcPr>
          <w:p>
            <w:pPr>
              <w:jc w:val="center"/>
              <w:rPr>
                <w:rFonts w:ascii="Times New Roman" w:hAnsi="Times New Roman" w:eastAsia="宋体" w:cs="Times New Roman"/>
                <w:bCs/>
                <w:snapToGrid w:val="0"/>
                <w:kern w:val="32"/>
                <w:sz w:val="24"/>
              </w:rPr>
            </w:pPr>
          </w:p>
        </w:tc>
        <w:tc>
          <w:tcPr>
            <w:tcW w:w="636" w:type="dxa"/>
            <w:vAlign w:val="center"/>
          </w:tcPr>
          <w:p>
            <w:pPr>
              <w:widowControl/>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w:t>
            </w:r>
            <w:r>
              <w:rPr>
                <w:rFonts w:ascii="Times New Roman" w:hAnsi="Times New Roman" w:eastAsia="宋体" w:cs="Times New Roman"/>
                <w:bCs/>
                <w:snapToGrid w:val="0"/>
                <w:kern w:val="32"/>
                <w:sz w:val="24"/>
              </w:rPr>
              <w:t>3</w:t>
            </w:r>
          </w:p>
        </w:tc>
        <w:tc>
          <w:tcPr>
            <w:tcW w:w="1902" w:type="dxa"/>
            <w:gridSpan w:val="2"/>
            <w:vMerge w:val="continue"/>
            <w:vAlign w:val="center"/>
          </w:tcPr>
          <w:p>
            <w:pPr>
              <w:jc w:val="center"/>
              <w:rPr>
                <w:rFonts w:ascii="Times New Roman" w:hAnsi="Times New Roman" w:eastAsia="宋体" w:cs="Times New Roman"/>
                <w:bCs/>
                <w:snapToGrid w:val="0"/>
                <w:kern w:val="32"/>
                <w:sz w:val="24"/>
              </w:rPr>
            </w:pPr>
          </w:p>
        </w:tc>
        <w:tc>
          <w:tcPr>
            <w:tcW w:w="713" w:type="dxa"/>
            <w:vMerge w:val="continue"/>
            <w:vAlign w:val="center"/>
          </w:tcPr>
          <w:p>
            <w:pPr>
              <w:jc w:val="center"/>
              <w:rPr>
                <w:rFonts w:ascii="Times New Roman" w:hAnsi="Times New Roman" w:eastAsia="宋体" w:cs="Times New Roman"/>
                <w:bCs/>
                <w:snapToGrid w:val="0"/>
                <w:kern w:val="32"/>
                <w:sz w:val="24"/>
              </w:rPr>
            </w:pPr>
          </w:p>
        </w:tc>
        <w:tc>
          <w:tcPr>
            <w:tcW w:w="1662"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lang w:eastAsia="zh-Hans"/>
              </w:rPr>
              <w:t>快充桩占比</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10</w:t>
            </w:r>
          </w:p>
        </w:tc>
        <w:tc>
          <w:tcPr>
            <w:tcW w:w="1425" w:type="dxa"/>
            <w:vMerge w:val="continue"/>
            <w:vAlign w:val="center"/>
          </w:tcPr>
          <w:p>
            <w:pPr>
              <w:jc w:val="center"/>
              <w:rPr>
                <w:rFonts w:ascii="Times New Roman" w:hAnsi="Times New Roman" w:eastAsia="宋体" w:cs="Times New Roman"/>
                <w:bCs/>
                <w:snapToGrid w:val="0"/>
                <w:kern w:val="32"/>
                <w:sz w:val="24"/>
              </w:rPr>
            </w:pPr>
          </w:p>
        </w:tc>
        <w:tc>
          <w:tcPr>
            <w:tcW w:w="713" w:type="dxa"/>
            <w:vMerge w:val="continue"/>
            <w:vAlign w:val="center"/>
          </w:tcPr>
          <w:p>
            <w:pPr>
              <w:jc w:val="center"/>
              <w:rPr>
                <w:rFonts w:ascii="Times New Roman" w:hAnsi="Times New Roman" w:eastAsia="宋体" w:cs="Times New Roman"/>
                <w:bCs/>
                <w:snapToGrid w:val="0"/>
                <w:color w:val="000000"/>
                <w:kern w:val="3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81" w:type="dxa"/>
            <w:gridSpan w:val="3"/>
            <w:vAlign w:val="center"/>
          </w:tcPr>
          <w:p>
            <w:pPr>
              <w:jc w:val="center"/>
              <w:rPr>
                <w:rFonts w:ascii="Times New Roman" w:hAnsi="Times New Roman" w:eastAsia="宋体" w:cs="Times New Roman"/>
                <w:b/>
                <w:snapToGrid w:val="0"/>
                <w:kern w:val="32"/>
                <w:sz w:val="24"/>
                <w:lang w:eastAsia="zh-Hans"/>
              </w:rPr>
            </w:pPr>
          </w:p>
        </w:tc>
        <w:tc>
          <w:tcPr>
            <w:tcW w:w="912" w:type="dxa"/>
            <w:vAlign w:val="center"/>
          </w:tcPr>
          <w:p>
            <w:pPr>
              <w:jc w:val="center"/>
              <w:rPr>
                <w:rFonts w:ascii="Times New Roman" w:hAnsi="Times New Roman" w:eastAsia="宋体" w:cs="Times New Roman"/>
                <w:b/>
                <w:snapToGrid w:val="0"/>
                <w:kern w:val="32"/>
                <w:sz w:val="24"/>
                <w:lang w:eastAsia="zh-Hans"/>
              </w:rPr>
            </w:pPr>
            <w:r>
              <w:rPr>
                <w:rFonts w:hint="eastAsia" w:ascii="Times New Roman" w:hAnsi="Times New Roman" w:eastAsia="宋体" w:cs="Times New Roman"/>
                <w:b/>
                <w:snapToGrid w:val="0"/>
                <w:kern w:val="32"/>
                <w:sz w:val="24"/>
                <w:lang w:eastAsia="zh-Hans"/>
              </w:rPr>
              <w:t>合计</w:t>
            </w:r>
          </w:p>
        </w:tc>
        <w:tc>
          <w:tcPr>
            <w:tcW w:w="713" w:type="dxa"/>
            <w:vAlign w:val="center"/>
          </w:tcPr>
          <w:p>
            <w:pPr>
              <w:jc w:val="center"/>
              <w:rPr>
                <w:rFonts w:ascii="Times New Roman" w:hAnsi="Times New Roman" w:eastAsia="宋体" w:cs="Times New Roman"/>
                <w:b/>
                <w:snapToGrid w:val="0"/>
                <w:kern w:val="32"/>
                <w:sz w:val="24"/>
              </w:rPr>
            </w:pPr>
            <w:r>
              <w:rPr>
                <w:rFonts w:hint="eastAsia" w:ascii="Times New Roman" w:hAnsi="Times New Roman" w:eastAsia="宋体" w:cs="Times New Roman"/>
                <w:b/>
                <w:snapToGrid w:val="0"/>
                <w:kern w:val="32"/>
                <w:sz w:val="24"/>
              </w:rPr>
              <w:t>100</w:t>
            </w:r>
          </w:p>
        </w:tc>
        <w:tc>
          <w:tcPr>
            <w:tcW w:w="1662" w:type="dxa"/>
            <w:vAlign w:val="center"/>
          </w:tcPr>
          <w:p>
            <w:pPr>
              <w:jc w:val="center"/>
              <w:rPr>
                <w:rFonts w:ascii="Times New Roman" w:hAnsi="Times New Roman" w:eastAsia="宋体" w:cs="Times New Roman"/>
                <w:b/>
                <w:snapToGrid w:val="0"/>
                <w:kern w:val="32"/>
                <w:sz w:val="24"/>
                <w:lang w:eastAsia="zh-Hans"/>
              </w:rPr>
            </w:pPr>
            <w:r>
              <w:rPr>
                <w:rFonts w:hint="eastAsia" w:ascii="Times New Roman" w:hAnsi="Times New Roman" w:eastAsia="宋体" w:cs="Times New Roman"/>
                <w:b/>
                <w:snapToGrid w:val="0"/>
                <w:kern w:val="32"/>
                <w:sz w:val="24"/>
                <w:lang w:eastAsia="zh-Hans"/>
              </w:rPr>
              <w:t>合计</w:t>
            </w:r>
          </w:p>
        </w:tc>
        <w:tc>
          <w:tcPr>
            <w:tcW w:w="713" w:type="dxa"/>
            <w:vAlign w:val="center"/>
          </w:tcPr>
          <w:p>
            <w:pPr>
              <w:jc w:val="center"/>
              <w:rPr>
                <w:rFonts w:ascii="Times New Roman" w:hAnsi="Times New Roman" w:eastAsia="宋体" w:cs="Times New Roman"/>
                <w:b/>
                <w:snapToGrid w:val="0"/>
                <w:color w:val="000000"/>
                <w:kern w:val="32"/>
                <w:sz w:val="24"/>
              </w:rPr>
            </w:pPr>
            <w:r>
              <w:rPr>
                <w:rFonts w:ascii="Times New Roman" w:hAnsi="Times New Roman" w:eastAsia="宋体" w:cs="Times New Roman"/>
                <w:b/>
                <w:snapToGrid w:val="0"/>
                <w:color w:val="000000"/>
                <w:kern w:val="32"/>
                <w:sz w:val="24"/>
              </w:rPr>
              <w:t>100</w:t>
            </w:r>
          </w:p>
        </w:tc>
        <w:tc>
          <w:tcPr>
            <w:tcW w:w="1425"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
                <w:snapToGrid w:val="0"/>
                <w:kern w:val="32"/>
                <w:sz w:val="24"/>
                <w:lang w:eastAsia="zh-Hans"/>
              </w:rPr>
              <w:t>合计</w:t>
            </w:r>
          </w:p>
        </w:tc>
        <w:tc>
          <w:tcPr>
            <w:tcW w:w="713" w:type="dxa"/>
            <w:vAlign w:val="center"/>
          </w:tcPr>
          <w:p>
            <w:pPr>
              <w:jc w:val="center"/>
              <w:rPr>
                <w:rFonts w:ascii="Times New Roman" w:hAnsi="Times New Roman" w:eastAsia="宋体" w:cs="Times New Roman"/>
                <w:bCs/>
                <w:snapToGrid w:val="0"/>
                <w:color w:val="000000"/>
                <w:kern w:val="32"/>
                <w:sz w:val="24"/>
              </w:rPr>
            </w:pPr>
            <w:r>
              <w:rPr>
                <w:rFonts w:ascii="Times New Roman Bold" w:hAnsi="Times New Roman Bold" w:eastAsia="宋体" w:cs="Times New Roman Bold"/>
                <w:b/>
                <w:snapToGrid w:val="0"/>
                <w:color w:val="000000"/>
                <w:kern w:val="3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restart"/>
            <w:vAlign w:val="center"/>
          </w:tcPr>
          <w:p>
            <w:pPr>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lang w:eastAsia="zh-Hans"/>
              </w:rPr>
              <w:t>友好性</w:t>
            </w:r>
          </w:p>
        </w:tc>
        <w:tc>
          <w:tcPr>
            <w:tcW w:w="636"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14</w:t>
            </w:r>
          </w:p>
        </w:tc>
        <w:tc>
          <w:tcPr>
            <w:tcW w:w="1902" w:type="dxa"/>
            <w:gridSpan w:val="2"/>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w:t>
            </w:r>
          </w:p>
        </w:tc>
        <w:tc>
          <w:tcPr>
            <w:tcW w:w="713" w:type="dxa"/>
            <w:vAlign w:val="center"/>
          </w:tcPr>
          <w:p>
            <w:pPr>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rPr>
              <w:t>——</w:t>
            </w:r>
          </w:p>
        </w:tc>
        <w:tc>
          <w:tcPr>
            <w:tcW w:w="1662" w:type="dxa"/>
            <w:vAlign w:val="center"/>
          </w:tcPr>
          <w:p>
            <w:pPr>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lang w:eastAsia="zh-Hans"/>
              </w:rPr>
              <w:t>配套设施建设</w:t>
            </w:r>
          </w:p>
        </w:tc>
        <w:tc>
          <w:tcPr>
            <w:tcW w:w="713" w:type="dxa"/>
            <w:vAlign w:val="center"/>
          </w:tcPr>
          <w:p>
            <w:pPr>
              <w:jc w:val="center"/>
              <w:rPr>
                <w:rFonts w:ascii="Times New Roman" w:hAnsi="Times New Roman" w:eastAsia="宋体" w:cs="Times New Roman"/>
                <w:bCs/>
                <w:snapToGrid w:val="0"/>
                <w:color w:val="000000"/>
                <w:kern w:val="32"/>
                <w:sz w:val="24"/>
              </w:rPr>
            </w:pPr>
            <w:r>
              <w:rPr>
                <w:rFonts w:ascii="Times New Roman" w:hAnsi="Times New Roman" w:eastAsia="宋体" w:cs="Times New Roman"/>
                <w:bCs/>
                <w:snapToGrid w:val="0"/>
                <w:color w:val="000000"/>
                <w:kern w:val="32"/>
                <w:sz w:val="24"/>
              </w:rPr>
              <w:t>5</w:t>
            </w:r>
          </w:p>
        </w:tc>
        <w:tc>
          <w:tcPr>
            <w:tcW w:w="1425" w:type="dxa"/>
            <w:vAlign w:val="center"/>
          </w:tcPr>
          <w:p>
            <w:pPr>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lang w:eastAsia="zh-Hans"/>
              </w:rPr>
              <w:t>配套设施建设</w:t>
            </w:r>
          </w:p>
        </w:tc>
        <w:tc>
          <w:tcPr>
            <w:tcW w:w="713" w:type="dxa"/>
            <w:vAlign w:val="center"/>
          </w:tcPr>
          <w:p>
            <w:pPr>
              <w:jc w:val="center"/>
              <w:rPr>
                <w:rFonts w:ascii="Times New Roman" w:hAnsi="Times New Roman" w:eastAsia="宋体" w:cs="Times New Roman"/>
                <w:bCs/>
                <w:snapToGrid w:val="0"/>
                <w:color w:val="000000"/>
                <w:kern w:val="32"/>
                <w:sz w:val="24"/>
              </w:rPr>
            </w:pPr>
            <w:r>
              <w:rPr>
                <w:rFonts w:ascii="Times New Roman" w:hAnsi="Times New Roman" w:eastAsia="宋体" w:cs="Times New Roman"/>
                <w:bCs/>
                <w:snapToGrid w:val="0"/>
                <w:color w:val="000000"/>
                <w:kern w:val="32"/>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continue"/>
            <w:vAlign w:val="center"/>
          </w:tcPr>
          <w:p>
            <w:pPr>
              <w:jc w:val="center"/>
              <w:rPr>
                <w:rFonts w:ascii="Times New Roman" w:hAnsi="Times New Roman" w:eastAsia="宋体" w:cs="Times New Roman"/>
                <w:bCs/>
                <w:snapToGrid w:val="0"/>
                <w:kern w:val="32"/>
                <w:sz w:val="24"/>
              </w:rPr>
            </w:pPr>
          </w:p>
        </w:tc>
        <w:tc>
          <w:tcPr>
            <w:tcW w:w="636"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15</w:t>
            </w:r>
          </w:p>
        </w:tc>
        <w:tc>
          <w:tcPr>
            <w:tcW w:w="1902" w:type="dxa"/>
            <w:gridSpan w:val="2"/>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w:t>
            </w:r>
          </w:p>
        </w:tc>
        <w:tc>
          <w:tcPr>
            <w:tcW w:w="713"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w:t>
            </w:r>
          </w:p>
        </w:tc>
        <w:tc>
          <w:tcPr>
            <w:tcW w:w="1662"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重点区域建设保障</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5</w:t>
            </w:r>
          </w:p>
        </w:tc>
        <w:tc>
          <w:tcPr>
            <w:tcW w:w="1425" w:type="dxa"/>
            <w:vAlign w:val="center"/>
          </w:tcPr>
          <w:p>
            <w:pPr>
              <w:jc w:val="center"/>
              <w:rPr>
                <w:rFonts w:ascii="Times New Roman" w:hAnsi="Times New Roman" w:eastAsia="宋体" w:cs="Times New Roman"/>
                <w:bCs/>
                <w:snapToGrid w:val="0"/>
                <w:kern w:val="32"/>
                <w:sz w:val="24"/>
              </w:rPr>
            </w:pPr>
          </w:p>
        </w:tc>
        <w:tc>
          <w:tcPr>
            <w:tcW w:w="713" w:type="dxa"/>
            <w:vAlign w:val="center"/>
          </w:tcPr>
          <w:p>
            <w:pPr>
              <w:jc w:val="center"/>
              <w:rPr>
                <w:rFonts w:ascii="Times New Roman" w:hAnsi="Times New Roman" w:eastAsia="宋体" w:cs="Times New Roman"/>
                <w:bCs/>
                <w:snapToGrid w:val="0"/>
                <w:color w:val="000000"/>
                <w:kern w:val="3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755" w:type="dxa"/>
            <w:vMerge w:val="continue"/>
            <w:vAlign w:val="center"/>
          </w:tcPr>
          <w:p>
            <w:pPr>
              <w:jc w:val="center"/>
              <w:rPr>
                <w:rFonts w:ascii="Times New Roman" w:hAnsi="Times New Roman" w:eastAsia="宋体" w:cs="Times New Roman"/>
                <w:bCs/>
                <w:snapToGrid w:val="0"/>
                <w:kern w:val="32"/>
                <w:sz w:val="24"/>
              </w:rPr>
            </w:pPr>
          </w:p>
        </w:tc>
        <w:tc>
          <w:tcPr>
            <w:tcW w:w="636"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16</w:t>
            </w:r>
          </w:p>
        </w:tc>
        <w:tc>
          <w:tcPr>
            <w:tcW w:w="1902" w:type="dxa"/>
            <w:gridSpan w:val="2"/>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w:t>
            </w:r>
          </w:p>
        </w:tc>
        <w:tc>
          <w:tcPr>
            <w:tcW w:w="713" w:type="dxa"/>
            <w:vAlign w:val="center"/>
          </w:tcPr>
          <w:p>
            <w:pPr>
              <w:jc w:val="center"/>
              <w:rPr>
                <w:rFonts w:ascii="Times New Roman" w:hAnsi="Times New Roman" w:eastAsia="宋体" w:cs="Times New Roman"/>
                <w:bCs/>
                <w:snapToGrid w:val="0"/>
                <w:kern w:val="32"/>
                <w:sz w:val="24"/>
                <w:lang w:eastAsia="zh-Hans"/>
              </w:rPr>
            </w:pPr>
            <w:r>
              <w:rPr>
                <w:rFonts w:hint="eastAsia" w:ascii="Times New Roman" w:hAnsi="Times New Roman" w:eastAsia="宋体" w:cs="Times New Roman"/>
                <w:bCs/>
                <w:snapToGrid w:val="0"/>
                <w:kern w:val="32"/>
                <w:sz w:val="24"/>
              </w:rPr>
              <w:t>——</w:t>
            </w:r>
          </w:p>
        </w:tc>
        <w:tc>
          <w:tcPr>
            <w:tcW w:w="1662"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充电停车管理</w:t>
            </w:r>
          </w:p>
        </w:tc>
        <w:tc>
          <w:tcPr>
            <w:tcW w:w="713" w:type="dxa"/>
            <w:vAlign w:val="center"/>
          </w:tcPr>
          <w:p>
            <w:pPr>
              <w:jc w:val="center"/>
              <w:rPr>
                <w:rFonts w:ascii="Times New Roman" w:hAnsi="Times New Roman" w:eastAsia="宋体" w:cs="Times New Roman"/>
                <w:bCs/>
                <w:snapToGrid w:val="0"/>
                <w:color w:val="000000"/>
                <w:kern w:val="32"/>
                <w:sz w:val="24"/>
              </w:rPr>
            </w:pPr>
            <w:r>
              <w:rPr>
                <w:rFonts w:ascii="Times New Roman" w:hAnsi="Times New Roman" w:eastAsia="宋体" w:cs="Times New Roman"/>
                <w:bCs/>
                <w:snapToGrid w:val="0"/>
                <w:color w:val="000000"/>
                <w:kern w:val="32"/>
                <w:sz w:val="24"/>
              </w:rPr>
              <w:t>5</w:t>
            </w:r>
          </w:p>
        </w:tc>
        <w:tc>
          <w:tcPr>
            <w:tcW w:w="1425"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w:t>
            </w:r>
          </w:p>
        </w:tc>
        <w:tc>
          <w:tcPr>
            <w:tcW w:w="713" w:type="dxa"/>
            <w:vAlign w:val="center"/>
          </w:tcPr>
          <w:p>
            <w:pPr>
              <w:jc w:val="center"/>
              <w:rPr>
                <w:rFonts w:ascii="Times New Roman" w:hAnsi="Times New Roman" w:eastAsia="宋体" w:cs="Times New Roman"/>
                <w:bCs/>
                <w:snapToGrid w:val="0"/>
                <w:color w:val="000000"/>
                <w:kern w:val="32"/>
                <w:sz w:val="24"/>
              </w:rPr>
            </w:pPr>
            <w:r>
              <w:rPr>
                <w:rFonts w:hint="eastAsia" w:ascii="Times New Roman" w:hAnsi="Times New Roman" w:eastAsia="宋体" w:cs="Times New Roman"/>
                <w:bCs/>
                <w:snapToGrid w:val="0"/>
                <w:color w:val="000000"/>
                <w:kern w:val="3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381" w:type="dxa"/>
            <w:gridSpan w:val="3"/>
            <w:vAlign w:val="center"/>
          </w:tcPr>
          <w:p>
            <w:pPr>
              <w:jc w:val="center"/>
              <w:rPr>
                <w:rFonts w:ascii="Times New Roman" w:hAnsi="Times New Roman" w:eastAsia="宋体" w:cs="Times New Roman"/>
                <w:b/>
                <w:snapToGrid w:val="0"/>
                <w:kern w:val="32"/>
                <w:sz w:val="24"/>
                <w:lang w:eastAsia="zh-Hans"/>
              </w:rPr>
            </w:pPr>
          </w:p>
        </w:tc>
        <w:tc>
          <w:tcPr>
            <w:tcW w:w="912" w:type="dxa"/>
            <w:vAlign w:val="center"/>
          </w:tcPr>
          <w:p>
            <w:pPr>
              <w:jc w:val="center"/>
              <w:rPr>
                <w:rFonts w:ascii="Times New Roman" w:hAnsi="Times New Roman" w:eastAsia="宋体" w:cs="Times New Roman"/>
                <w:b/>
                <w:snapToGrid w:val="0"/>
                <w:kern w:val="32"/>
                <w:sz w:val="24"/>
                <w:lang w:eastAsia="zh-Hans"/>
              </w:rPr>
            </w:pPr>
            <w:r>
              <w:rPr>
                <w:rFonts w:hint="eastAsia" w:ascii="Times New Roman" w:hAnsi="Times New Roman" w:eastAsia="宋体" w:cs="Times New Roman"/>
                <w:b/>
                <w:snapToGrid w:val="0"/>
                <w:kern w:val="32"/>
                <w:sz w:val="24"/>
                <w:lang w:eastAsia="zh-Hans"/>
              </w:rPr>
              <w:t>合计</w:t>
            </w:r>
          </w:p>
        </w:tc>
        <w:tc>
          <w:tcPr>
            <w:tcW w:w="713" w:type="dxa"/>
            <w:vAlign w:val="center"/>
          </w:tcPr>
          <w:p>
            <w:pPr>
              <w:jc w:val="center"/>
              <w:rPr>
                <w:rFonts w:ascii="Times New Roman" w:hAnsi="Times New Roman" w:eastAsia="宋体" w:cs="Times New Roman"/>
                <w:b/>
                <w:snapToGrid w:val="0"/>
                <w:kern w:val="32"/>
                <w:sz w:val="24"/>
              </w:rPr>
            </w:pPr>
            <w:r>
              <w:rPr>
                <w:rFonts w:hint="eastAsia" w:ascii="Times New Roman" w:hAnsi="Times New Roman" w:eastAsia="宋体" w:cs="Times New Roman"/>
                <w:b/>
                <w:snapToGrid w:val="0"/>
                <w:kern w:val="32"/>
                <w:sz w:val="24"/>
              </w:rPr>
              <w:t>100</w:t>
            </w:r>
          </w:p>
        </w:tc>
        <w:tc>
          <w:tcPr>
            <w:tcW w:w="1662" w:type="dxa"/>
            <w:vAlign w:val="center"/>
          </w:tcPr>
          <w:p>
            <w:pPr>
              <w:jc w:val="center"/>
              <w:rPr>
                <w:rFonts w:ascii="Times New Roman" w:hAnsi="Times New Roman" w:eastAsia="宋体" w:cs="Times New Roman"/>
                <w:b/>
                <w:snapToGrid w:val="0"/>
                <w:kern w:val="32"/>
                <w:sz w:val="24"/>
                <w:lang w:eastAsia="zh-Hans"/>
              </w:rPr>
            </w:pPr>
            <w:r>
              <w:rPr>
                <w:rFonts w:hint="eastAsia" w:ascii="Times New Roman" w:hAnsi="Times New Roman" w:eastAsia="宋体" w:cs="Times New Roman"/>
                <w:b/>
                <w:snapToGrid w:val="0"/>
                <w:kern w:val="32"/>
                <w:sz w:val="24"/>
                <w:lang w:eastAsia="zh-Hans"/>
              </w:rPr>
              <w:t>合计</w:t>
            </w:r>
          </w:p>
        </w:tc>
        <w:tc>
          <w:tcPr>
            <w:tcW w:w="713" w:type="dxa"/>
            <w:vAlign w:val="center"/>
          </w:tcPr>
          <w:p>
            <w:pPr>
              <w:jc w:val="center"/>
              <w:rPr>
                <w:rFonts w:ascii="Times New Roman" w:hAnsi="Times New Roman" w:eastAsia="宋体" w:cs="Times New Roman"/>
                <w:b/>
                <w:snapToGrid w:val="0"/>
                <w:color w:val="000000"/>
                <w:kern w:val="32"/>
                <w:sz w:val="24"/>
              </w:rPr>
            </w:pPr>
            <w:r>
              <w:rPr>
                <w:rFonts w:ascii="Times New Roman" w:hAnsi="Times New Roman" w:eastAsia="宋体" w:cs="Times New Roman"/>
                <w:b/>
                <w:snapToGrid w:val="0"/>
                <w:color w:val="000000"/>
                <w:kern w:val="32"/>
                <w:sz w:val="24"/>
              </w:rPr>
              <w:t>11</w:t>
            </w:r>
            <w:r>
              <w:rPr>
                <w:rFonts w:hint="eastAsia" w:ascii="Times New Roman" w:hAnsi="Times New Roman" w:eastAsia="宋体" w:cs="Times New Roman"/>
                <w:b/>
                <w:snapToGrid w:val="0"/>
                <w:color w:val="000000"/>
                <w:kern w:val="32"/>
                <w:sz w:val="24"/>
              </w:rPr>
              <w:t>5</w:t>
            </w:r>
          </w:p>
        </w:tc>
        <w:tc>
          <w:tcPr>
            <w:tcW w:w="1425" w:type="dxa"/>
            <w:vAlign w:val="center"/>
          </w:tcPr>
          <w:p>
            <w:pPr>
              <w:jc w:val="center"/>
              <w:rPr>
                <w:rFonts w:ascii="Times New Roman" w:hAnsi="Times New Roman" w:eastAsia="宋体" w:cs="Times New Roman"/>
                <w:bCs/>
                <w:snapToGrid w:val="0"/>
                <w:kern w:val="32"/>
                <w:sz w:val="24"/>
              </w:rPr>
            </w:pPr>
            <w:r>
              <w:rPr>
                <w:rFonts w:hint="eastAsia" w:ascii="Times New Roman" w:hAnsi="Times New Roman" w:eastAsia="宋体" w:cs="Times New Roman"/>
                <w:b/>
                <w:snapToGrid w:val="0"/>
                <w:kern w:val="32"/>
                <w:sz w:val="24"/>
                <w:lang w:eastAsia="zh-Hans"/>
              </w:rPr>
              <w:t>合计</w:t>
            </w:r>
          </w:p>
        </w:tc>
        <w:tc>
          <w:tcPr>
            <w:tcW w:w="713" w:type="dxa"/>
            <w:vAlign w:val="center"/>
          </w:tcPr>
          <w:p>
            <w:pPr>
              <w:jc w:val="center"/>
              <w:rPr>
                <w:rFonts w:ascii="Times New Roman" w:hAnsi="Times New Roman" w:eastAsia="宋体" w:cs="Times New Roman"/>
                <w:bCs/>
                <w:snapToGrid w:val="0"/>
                <w:color w:val="000000"/>
                <w:kern w:val="32"/>
                <w:sz w:val="24"/>
              </w:rPr>
            </w:pPr>
            <w:r>
              <w:rPr>
                <w:rFonts w:ascii="Times New Roman Bold" w:hAnsi="Times New Roman Bold" w:eastAsia="宋体" w:cs="Times New Roman Bold"/>
                <w:b/>
                <w:snapToGrid w:val="0"/>
                <w:color w:val="000000"/>
                <w:kern w:val="32"/>
                <w:sz w:val="24"/>
              </w:rPr>
              <w:t>1</w:t>
            </w:r>
            <w:r>
              <w:rPr>
                <w:rFonts w:hint="eastAsia" w:ascii="Times New Roman Bold" w:hAnsi="Times New Roman Bold" w:eastAsia="宋体" w:cs="Times New Roman Bold"/>
                <w:b/>
                <w:snapToGrid w:val="0"/>
                <w:color w:val="000000"/>
                <w:kern w:val="32"/>
                <w:sz w:val="24"/>
              </w:rPr>
              <w:t>05</w:t>
            </w:r>
          </w:p>
        </w:tc>
      </w:tr>
    </w:tbl>
    <w:p>
      <w:pPr>
        <w:pStyle w:val="19"/>
        <w:rPr>
          <w:bCs/>
        </w:rPr>
      </w:pPr>
    </w:p>
    <w:p>
      <w:pPr>
        <w:spacing w:line="560" w:lineRule="exact"/>
        <w:jc w:val="center"/>
        <w:rPr>
          <w:rFonts w:ascii="黑体" w:hAnsi="黑体" w:eastAsia="黑体" w:cs="Times New Roman"/>
          <w:bCs/>
          <w:snapToGrid w:val="0"/>
          <w:kern w:val="32"/>
          <w:sz w:val="28"/>
          <w:szCs w:val="32"/>
        </w:rPr>
      </w:pPr>
      <w:r>
        <w:rPr>
          <w:rFonts w:hint="eastAsia" w:ascii="黑体" w:hAnsi="黑体" w:eastAsia="黑体" w:cs="Times New Roman"/>
          <w:bCs/>
          <w:snapToGrid w:val="0"/>
          <w:kern w:val="32"/>
          <w:sz w:val="28"/>
          <w:szCs w:val="32"/>
        </w:rPr>
        <w:t>表2 充换电站考核等级确定规则</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2287"/>
        <w:gridCol w:w="1977"/>
        <w:gridCol w:w="1510"/>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blHeader/>
          <w:jc w:val="center"/>
        </w:trPr>
        <w:tc>
          <w:tcPr>
            <w:tcW w:w="917" w:type="dxa"/>
            <w:vMerge w:val="restart"/>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序号</w:t>
            </w:r>
          </w:p>
        </w:tc>
        <w:tc>
          <w:tcPr>
            <w:tcW w:w="5774" w:type="dxa"/>
            <w:gridSpan w:val="3"/>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综合评分</w:t>
            </w:r>
          </w:p>
        </w:tc>
        <w:tc>
          <w:tcPr>
            <w:tcW w:w="1828" w:type="dxa"/>
            <w:vMerge w:val="restart"/>
            <w:vAlign w:val="center"/>
          </w:tcPr>
          <w:p>
            <w:pPr>
              <w:widowControl/>
              <w:jc w:val="center"/>
              <w:rPr>
                <w:rFonts w:ascii="Times New Roman" w:hAnsi="Times New Roman" w:eastAsia="宋体" w:cs="Times New Roman"/>
                <w:b/>
                <w:snapToGrid w:val="0"/>
                <w:color w:val="000000"/>
                <w:kern w:val="0"/>
                <w:sz w:val="24"/>
              </w:rPr>
            </w:pPr>
            <w:r>
              <w:rPr>
                <w:rFonts w:ascii="Times New Roman" w:hAnsi="Times New Roman" w:eastAsia="宋体" w:cs="Times New Roman"/>
                <w:b/>
                <w:snapToGrid w:val="0"/>
                <w:color w:val="000000"/>
                <w:kern w:val="0"/>
                <w:sz w:val="24"/>
              </w:rPr>
              <w:t>充电站等级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blHeader/>
          <w:jc w:val="center"/>
        </w:trPr>
        <w:tc>
          <w:tcPr>
            <w:tcW w:w="917" w:type="dxa"/>
            <w:vMerge w:val="continue"/>
            <w:vAlign w:val="center"/>
          </w:tcPr>
          <w:p>
            <w:pPr>
              <w:widowControl/>
              <w:jc w:val="center"/>
              <w:rPr>
                <w:rFonts w:ascii="Times New Roman" w:hAnsi="Times New Roman" w:eastAsia="宋体" w:cs="Times New Roman"/>
                <w:b/>
                <w:snapToGrid w:val="0"/>
                <w:color w:val="000000"/>
                <w:kern w:val="0"/>
                <w:sz w:val="24"/>
              </w:rPr>
            </w:pPr>
          </w:p>
        </w:tc>
        <w:tc>
          <w:tcPr>
            <w:tcW w:w="2287" w:type="dxa"/>
            <w:vAlign w:val="center"/>
          </w:tcPr>
          <w:p>
            <w:pPr>
              <w:widowControl/>
              <w:jc w:val="center"/>
              <w:rPr>
                <w:rFonts w:ascii="Times New Roman" w:hAnsi="Times New Roman" w:eastAsia="宋体" w:cs="Times New Roman"/>
                <w:b/>
                <w:snapToGrid w:val="0"/>
                <w:color w:val="000000"/>
                <w:kern w:val="0"/>
                <w:sz w:val="24"/>
              </w:rPr>
            </w:pPr>
            <w:r>
              <w:rPr>
                <w:rFonts w:hint="eastAsia" w:ascii="Times New Roman" w:hAnsi="Times New Roman" w:eastAsia="宋体" w:cs="Times New Roman"/>
                <w:b/>
                <w:snapToGrid w:val="0"/>
                <w:color w:val="000000"/>
                <w:kern w:val="0"/>
                <w:sz w:val="24"/>
              </w:rPr>
              <w:t>居住区公用充电站</w:t>
            </w:r>
          </w:p>
        </w:tc>
        <w:tc>
          <w:tcPr>
            <w:tcW w:w="1977" w:type="dxa"/>
            <w:vAlign w:val="center"/>
          </w:tcPr>
          <w:p>
            <w:pPr>
              <w:widowControl/>
              <w:jc w:val="center"/>
              <w:rPr>
                <w:rFonts w:ascii="Times New Roman" w:hAnsi="Times New Roman" w:eastAsia="宋体" w:cs="Times New Roman"/>
                <w:b/>
                <w:snapToGrid w:val="0"/>
                <w:color w:val="000000"/>
                <w:kern w:val="0"/>
                <w:sz w:val="24"/>
              </w:rPr>
            </w:pPr>
            <w:r>
              <w:rPr>
                <w:rFonts w:hint="eastAsia" w:ascii="Times New Roman" w:hAnsi="Times New Roman" w:eastAsia="宋体" w:cs="Times New Roman"/>
                <w:b/>
                <w:snapToGrid w:val="0"/>
                <w:color w:val="000000"/>
                <w:kern w:val="0"/>
                <w:sz w:val="24"/>
              </w:rPr>
              <w:t>社会公用充电站</w:t>
            </w:r>
          </w:p>
        </w:tc>
        <w:tc>
          <w:tcPr>
            <w:tcW w:w="1510" w:type="dxa"/>
            <w:vAlign w:val="center"/>
          </w:tcPr>
          <w:p>
            <w:pPr>
              <w:widowControl/>
              <w:jc w:val="center"/>
              <w:rPr>
                <w:rFonts w:ascii="Times New Roman" w:hAnsi="Times New Roman" w:eastAsia="宋体" w:cs="Times New Roman"/>
                <w:b/>
                <w:snapToGrid w:val="0"/>
                <w:color w:val="000000"/>
                <w:kern w:val="0"/>
                <w:sz w:val="24"/>
              </w:rPr>
            </w:pPr>
            <w:r>
              <w:rPr>
                <w:rFonts w:hint="eastAsia" w:ascii="Times New Roman" w:hAnsi="Times New Roman" w:eastAsia="宋体" w:cs="Times New Roman"/>
                <w:b/>
                <w:snapToGrid w:val="0"/>
                <w:color w:val="000000"/>
                <w:kern w:val="0"/>
                <w:sz w:val="24"/>
              </w:rPr>
              <w:t>换电站</w:t>
            </w:r>
          </w:p>
        </w:tc>
        <w:tc>
          <w:tcPr>
            <w:tcW w:w="1828" w:type="dxa"/>
            <w:vMerge w:val="continue"/>
            <w:vAlign w:val="center"/>
          </w:tcPr>
          <w:p>
            <w:pPr>
              <w:widowControl/>
              <w:jc w:val="center"/>
              <w:rPr>
                <w:rFonts w:ascii="Times New Roman" w:hAnsi="Times New Roman" w:eastAsia="宋体" w:cs="Times New Roman"/>
                <w:b/>
                <w:snapToGrid w:val="0"/>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91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1</w:t>
            </w:r>
          </w:p>
        </w:tc>
        <w:tc>
          <w:tcPr>
            <w:tcW w:w="228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[90</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1</w:t>
            </w:r>
            <w:r>
              <w:rPr>
                <w:rFonts w:hint="eastAsia" w:ascii="Times New Roman" w:hAnsi="Times New Roman" w:eastAsia="仿宋_GB2312" w:cs="Times New Roman"/>
                <w:bCs/>
                <w:snapToGrid w:val="0"/>
                <w:kern w:val="32"/>
                <w:sz w:val="24"/>
              </w:rPr>
              <w:t>00]</w:t>
            </w:r>
          </w:p>
        </w:tc>
        <w:tc>
          <w:tcPr>
            <w:tcW w:w="197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[90</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1</w:t>
            </w:r>
            <w:r>
              <w:rPr>
                <w:rFonts w:hint="eastAsia" w:ascii="Times New Roman" w:hAnsi="Times New Roman" w:eastAsia="仿宋_GB2312" w:cs="Times New Roman"/>
                <w:bCs/>
                <w:snapToGrid w:val="0"/>
                <w:kern w:val="32"/>
                <w:sz w:val="24"/>
              </w:rPr>
              <w:t>15]</w:t>
            </w:r>
          </w:p>
        </w:tc>
        <w:tc>
          <w:tcPr>
            <w:tcW w:w="1510"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[90</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1</w:t>
            </w:r>
            <w:r>
              <w:rPr>
                <w:rFonts w:hint="eastAsia" w:ascii="Times New Roman" w:hAnsi="Times New Roman" w:eastAsia="仿宋_GB2312" w:cs="Times New Roman"/>
                <w:bCs/>
                <w:snapToGrid w:val="0"/>
                <w:kern w:val="32"/>
                <w:sz w:val="24"/>
              </w:rPr>
              <w:t>05]</w:t>
            </w:r>
          </w:p>
        </w:tc>
        <w:tc>
          <w:tcPr>
            <w:tcW w:w="1828"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2</w:t>
            </w:r>
          </w:p>
        </w:tc>
        <w:tc>
          <w:tcPr>
            <w:tcW w:w="228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[75</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90)</w:t>
            </w:r>
          </w:p>
        </w:tc>
        <w:tc>
          <w:tcPr>
            <w:tcW w:w="197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[75</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90)</w:t>
            </w:r>
          </w:p>
        </w:tc>
        <w:tc>
          <w:tcPr>
            <w:tcW w:w="1510"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[75</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90)</w:t>
            </w:r>
          </w:p>
        </w:tc>
        <w:tc>
          <w:tcPr>
            <w:tcW w:w="1828"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1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3</w:t>
            </w:r>
          </w:p>
        </w:tc>
        <w:tc>
          <w:tcPr>
            <w:tcW w:w="228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[6</w:t>
            </w:r>
            <w:r>
              <w:rPr>
                <w:rFonts w:hint="eastAsia" w:ascii="Times New Roman" w:hAnsi="Times New Roman" w:eastAsia="仿宋_GB2312" w:cs="Times New Roman"/>
                <w:bCs/>
                <w:snapToGrid w:val="0"/>
                <w:kern w:val="32"/>
                <w:sz w:val="24"/>
              </w:rPr>
              <w:t>0</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75)</w:t>
            </w:r>
          </w:p>
        </w:tc>
        <w:tc>
          <w:tcPr>
            <w:tcW w:w="197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[6</w:t>
            </w:r>
            <w:r>
              <w:rPr>
                <w:rFonts w:hint="eastAsia" w:ascii="Times New Roman" w:hAnsi="Times New Roman" w:eastAsia="仿宋_GB2312" w:cs="Times New Roman"/>
                <w:bCs/>
                <w:snapToGrid w:val="0"/>
                <w:kern w:val="32"/>
                <w:sz w:val="24"/>
              </w:rPr>
              <w:t>0</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75)</w:t>
            </w:r>
          </w:p>
        </w:tc>
        <w:tc>
          <w:tcPr>
            <w:tcW w:w="1510"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[6</w:t>
            </w:r>
            <w:r>
              <w:rPr>
                <w:rFonts w:hint="eastAsia" w:ascii="Times New Roman" w:hAnsi="Times New Roman" w:eastAsia="仿宋_GB2312" w:cs="Times New Roman"/>
                <w:bCs/>
                <w:snapToGrid w:val="0"/>
                <w:kern w:val="32"/>
                <w:sz w:val="24"/>
              </w:rPr>
              <w:t>0</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75)</w:t>
            </w:r>
          </w:p>
        </w:tc>
        <w:tc>
          <w:tcPr>
            <w:tcW w:w="1828" w:type="dxa"/>
            <w:vAlign w:val="center"/>
          </w:tcPr>
          <w:p>
            <w:pPr>
              <w:jc w:val="center"/>
              <w:rPr>
                <w:rFonts w:ascii="Times New Roman" w:hAnsi="Times New Roman" w:eastAsia="仿宋_GB2312" w:cs="Times New Roman"/>
                <w:bCs/>
                <w:snapToGrid w:val="0"/>
                <w:kern w:val="32"/>
                <w:sz w:val="24"/>
              </w:rPr>
            </w:pPr>
            <w:r>
              <w:rPr>
                <w:rFonts w:hint="eastAsia" w:ascii="Times New Roman" w:hAnsi="Times New Roman" w:eastAsia="仿宋_GB2312" w:cs="Times New Roman"/>
                <w:bCs/>
                <w:snapToGrid w:val="0"/>
                <w:kern w:val="32"/>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17" w:type="dxa"/>
            <w:vAlign w:val="center"/>
          </w:tcPr>
          <w:p>
            <w:pPr>
              <w:jc w:val="center"/>
              <w:rPr>
                <w:rFonts w:ascii="Times New Roman" w:hAnsi="Times New Roman" w:eastAsia="仿宋_GB2312" w:cs="Times New Roman"/>
                <w:bCs/>
                <w:snapToGrid w:val="0"/>
                <w:kern w:val="32"/>
                <w:sz w:val="24"/>
              </w:rPr>
            </w:pPr>
            <w:r>
              <w:rPr>
                <w:rFonts w:hint="eastAsia" w:ascii="Times New Roman" w:hAnsi="Times New Roman" w:eastAsia="仿宋_GB2312" w:cs="Times New Roman"/>
                <w:bCs/>
                <w:snapToGrid w:val="0"/>
                <w:kern w:val="32"/>
                <w:sz w:val="24"/>
              </w:rPr>
              <w:t>4</w:t>
            </w:r>
          </w:p>
        </w:tc>
        <w:tc>
          <w:tcPr>
            <w:tcW w:w="228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[0</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60)</w:t>
            </w:r>
          </w:p>
        </w:tc>
        <w:tc>
          <w:tcPr>
            <w:tcW w:w="1977"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[0</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60)</w:t>
            </w:r>
          </w:p>
        </w:tc>
        <w:tc>
          <w:tcPr>
            <w:tcW w:w="1510" w:type="dxa"/>
            <w:vAlign w:val="center"/>
          </w:tcPr>
          <w:p>
            <w:pPr>
              <w:jc w:val="center"/>
              <w:rPr>
                <w:rFonts w:ascii="Times New Roman" w:hAnsi="Times New Roman" w:eastAsia="仿宋_GB2312" w:cs="Times New Roman"/>
                <w:bCs/>
                <w:snapToGrid w:val="0"/>
                <w:kern w:val="32"/>
                <w:sz w:val="24"/>
              </w:rPr>
            </w:pPr>
            <w:r>
              <w:rPr>
                <w:rFonts w:ascii="Times New Roman" w:hAnsi="Times New Roman" w:eastAsia="仿宋_GB2312" w:cs="Times New Roman"/>
                <w:bCs/>
                <w:snapToGrid w:val="0"/>
                <w:kern w:val="32"/>
                <w:sz w:val="24"/>
              </w:rPr>
              <w:t>[0</w:t>
            </w:r>
            <w:r>
              <w:rPr>
                <w:rFonts w:ascii="Times New Roman" w:hAnsi="宋体" w:eastAsia="仿宋_GB2312" w:cs="Times New Roman"/>
                <w:bCs/>
                <w:snapToGrid w:val="0"/>
                <w:kern w:val="32"/>
                <w:sz w:val="24"/>
              </w:rPr>
              <w:t>，</w:t>
            </w:r>
            <w:r>
              <w:rPr>
                <w:rFonts w:ascii="Times New Roman" w:hAnsi="Times New Roman" w:eastAsia="仿宋_GB2312" w:cs="Times New Roman"/>
                <w:bCs/>
                <w:snapToGrid w:val="0"/>
                <w:kern w:val="32"/>
                <w:sz w:val="24"/>
              </w:rPr>
              <w:t>60)</w:t>
            </w:r>
          </w:p>
        </w:tc>
        <w:tc>
          <w:tcPr>
            <w:tcW w:w="1828" w:type="dxa"/>
            <w:vAlign w:val="center"/>
          </w:tcPr>
          <w:p>
            <w:pPr>
              <w:jc w:val="center"/>
              <w:rPr>
                <w:rFonts w:ascii="Times New Roman" w:hAnsi="Times New Roman" w:eastAsia="仿宋_GB2312" w:cs="Times New Roman"/>
                <w:bCs/>
                <w:snapToGrid w:val="0"/>
                <w:kern w:val="32"/>
                <w:sz w:val="24"/>
              </w:rPr>
            </w:pPr>
            <w:r>
              <w:rPr>
                <w:rFonts w:hint="eastAsia" w:ascii="Times New Roman" w:hAnsi="Times New Roman" w:eastAsia="仿宋_GB2312" w:cs="Times New Roman"/>
                <w:bCs/>
                <w:snapToGrid w:val="0"/>
                <w:kern w:val="32"/>
                <w:sz w:val="24"/>
              </w:rPr>
              <w:t>D</w:t>
            </w:r>
          </w:p>
        </w:tc>
      </w:tr>
    </w:tbl>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一、安全事故</w:t>
      </w:r>
    </w:p>
    <w:p>
      <w:pPr>
        <w:spacing w:line="560" w:lineRule="exact"/>
        <w:ind w:firstLine="640" w:firstLineChars="200"/>
        <w:rPr>
          <w:rFonts w:ascii="仿宋_GB2312" w:hAnsi="仿宋"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仿宋" w:eastAsia="仿宋_GB2312" w:cs="Times New Roman"/>
          <w:bCs/>
          <w:snapToGrid w:val="0"/>
          <w:kern w:val="32"/>
          <w:sz w:val="32"/>
          <w:szCs w:val="32"/>
        </w:rPr>
        <w:t>以充换电站为考核对象，根据《中华人民共和国安全生产法》，充换电站出现因充换电设施导致的人员伤亡或财产损失的事故。</w:t>
      </w:r>
    </w:p>
    <w:p>
      <w:pPr>
        <w:spacing w:line="560" w:lineRule="exact"/>
        <w:ind w:firstLine="640" w:firstLineChars="200"/>
        <w:rPr>
          <w:rFonts w:ascii="仿宋_GB2312" w:hAnsi="仿宋"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仿宋" w:eastAsia="仿宋_GB2312" w:cs="Times New Roman"/>
          <w:bCs/>
          <w:snapToGrid w:val="0"/>
          <w:kern w:val="32"/>
          <w:sz w:val="32"/>
          <w:szCs w:val="32"/>
        </w:rPr>
        <w:t>该指标为前提条件性指标，不参与综合评分的计算。若发生安全事故，则取消该充换电站本年度奖励资格；否则，根据其他指标进行综合评分的计算。</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二、</w:t>
      </w:r>
      <w:r>
        <w:rPr>
          <w:rFonts w:hint="eastAsia" w:ascii="黑体" w:hAnsi="黑体" w:eastAsia="黑体" w:cs="黑体"/>
          <w:bCs/>
          <w:snapToGrid w:val="0"/>
          <w:kern w:val="32"/>
          <w:sz w:val="32"/>
          <w:szCs w:val="32"/>
          <w:lang w:eastAsia="zh-Hans"/>
        </w:rPr>
        <w:t>严重</w:t>
      </w:r>
      <w:r>
        <w:rPr>
          <w:rFonts w:hint="eastAsia" w:ascii="黑体" w:hAnsi="黑体" w:eastAsia="黑体" w:cs="黑体"/>
          <w:bCs/>
          <w:snapToGrid w:val="0"/>
          <w:kern w:val="32"/>
          <w:sz w:val="32"/>
          <w:szCs w:val="32"/>
        </w:rPr>
        <w:t>隐患</w:t>
      </w:r>
    </w:p>
    <w:p>
      <w:pPr>
        <w:spacing w:line="560" w:lineRule="exact"/>
        <w:ind w:firstLine="640" w:firstLineChars="200"/>
        <w:rPr>
          <w:rFonts w:ascii="仿宋_GB2312" w:hAnsi="仿宋"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仿宋" w:eastAsia="仿宋_GB2312" w:cs="Times New Roman"/>
          <w:bCs/>
          <w:snapToGrid w:val="0"/>
          <w:kern w:val="32"/>
          <w:sz w:val="32"/>
          <w:szCs w:val="32"/>
        </w:rPr>
        <w:t>以充换电站为考核对象，安全生产检查出表3中</w:t>
      </w:r>
      <w:r>
        <w:rPr>
          <w:rFonts w:ascii="仿宋_GB2312" w:hAnsi="仿宋" w:eastAsia="仿宋_GB2312" w:cs="Times New Roman"/>
          <w:bCs/>
          <w:snapToGrid w:val="0"/>
          <w:kern w:val="32"/>
          <w:sz w:val="32"/>
          <w:szCs w:val="32"/>
        </w:rPr>
        <w:t>任一</w:t>
      </w:r>
      <w:r>
        <w:rPr>
          <w:rFonts w:hint="eastAsia" w:ascii="仿宋_GB2312" w:hAnsi="仿宋" w:eastAsia="仿宋_GB2312" w:cs="Times New Roman"/>
          <w:bCs/>
          <w:snapToGrid w:val="0"/>
          <w:kern w:val="32"/>
          <w:sz w:val="32"/>
          <w:szCs w:val="32"/>
        </w:rPr>
        <w:t>隐患，则视为该充电站有</w:t>
      </w:r>
      <w:r>
        <w:rPr>
          <w:rFonts w:hint="eastAsia" w:ascii="仿宋_GB2312" w:hAnsi="仿宋" w:eastAsia="仿宋_GB2312" w:cs="Times New Roman"/>
          <w:bCs/>
          <w:snapToGrid w:val="0"/>
          <w:kern w:val="32"/>
          <w:sz w:val="32"/>
          <w:szCs w:val="32"/>
          <w:lang w:eastAsia="zh-Hans"/>
        </w:rPr>
        <w:t>严重</w:t>
      </w:r>
      <w:r>
        <w:rPr>
          <w:rFonts w:hint="eastAsia" w:ascii="仿宋_GB2312" w:hAnsi="仿宋" w:eastAsia="仿宋_GB2312" w:cs="Times New Roman"/>
          <w:bCs/>
          <w:snapToGrid w:val="0"/>
          <w:kern w:val="32"/>
          <w:sz w:val="32"/>
          <w:szCs w:val="32"/>
        </w:rPr>
        <w:t>隐患情况，检查出表4中任一隐患，则视为该换电站有</w:t>
      </w:r>
      <w:r>
        <w:rPr>
          <w:rFonts w:hint="eastAsia" w:ascii="仿宋_GB2312" w:hAnsi="仿宋" w:eastAsia="仿宋_GB2312" w:cs="Times New Roman"/>
          <w:bCs/>
          <w:snapToGrid w:val="0"/>
          <w:kern w:val="32"/>
          <w:sz w:val="32"/>
          <w:szCs w:val="32"/>
          <w:lang w:eastAsia="zh-Hans"/>
        </w:rPr>
        <w:t>严重</w:t>
      </w:r>
      <w:r>
        <w:rPr>
          <w:rFonts w:hint="eastAsia" w:ascii="仿宋_GB2312" w:hAnsi="仿宋" w:eastAsia="仿宋_GB2312" w:cs="Times New Roman"/>
          <w:bCs/>
          <w:snapToGrid w:val="0"/>
          <w:kern w:val="32"/>
          <w:sz w:val="32"/>
          <w:szCs w:val="32"/>
        </w:rPr>
        <w:t>隐患情况。</w:t>
      </w:r>
    </w:p>
    <w:p>
      <w:pPr>
        <w:spacing w:line="560" w:lineRule="exact"/>
        <w:jc w:val="center"/>
        <w:rPr>
          <w:rFonts w:ascii="黑体" w:hAnsi="黑体" w:eastAsia="黑体" w:cs="Times New Roman"/>
          <w:bCs/>
          <w:snapToGrid w:val="0"/>
          <w:kern w:val="32"/>
          <w:sz w:val="28"/>
          <w:szCs w:val="32"/>
        </w:rPr>
      </w:pPr>
      <w:r>
        <w:rPr>
          <w:rFonts w:hint="eastAsia" w:ascii="黑体" w:hAnsi="黑体" w:eastAsia="黑体" w:cs="Times New Roman"/>
          <w:bCs/>
          <w:snapToGrid w:val="0"/>
          <w:kern w:val="32"/>
          <w:sz w:val="28"/>
          <w:szCs w:val="32"/>
        </w:rPr>
        <w:t>表3 充电站严重隐患内容</w:t>
      </w:r>
    </w:p>
    <w:tbl>
      <w:tblPr>
        <w:tblStyle w:val="9"/>
        <w:tblW w:w="8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7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1" w:type="dxa"/>
            <w:vAlign w:val="center"/>
          </w:tcPr>
          <w:p>
            <w:pPr>
              <w:widowControl/>
              <w:tabs>
                <w:tab w:val="left" w:pos="1190"/>
              </w:tabs>
              <w:jc w:val="center"/>
              <w:rPr>
                <w:rFonts w:ascii="Times New Roman" w:hAnsi="Times New Roman" w:cs="Times New Roman"/>
                <w:b/>
                <w:snapToGrid w:val="0"/>
                <w:kern w:val="32"/>
                <w:sz w:val="24"/>
              </w:rPr>
            </w:pPr>
            <w:r>
              <w:rPr>
                <w:rFonts w:ascii="Times New Roman" w:hAnsi="Times New Roman" w:cs="Times New Roman"/>
                <w:b/>
                <w:snapToGrid w:val="0"/>
                <w:kern w:val="32"/>
                <w:sz w:val="24"/>
              </w:rPr>
              <w:t>序号</w:t>
            </w:r>
          </w:p>
        </w:tc>
        <w:tc>
          <w:tcPr>
            <w:tcW w:w="7688" w:type="dxa"/>
            <w:vAlign w:val="center"/>
          </w:tcPr>
          <w:p>
            <w:pPr>
              <w:widowControl/>
              <w:tabs>
                <w:tab w:val="left" w:pos="1190"/>
              </w:tabs>
              <w:jc w:val="center"/>
              <w:rPr>
                <w:rFonts w:ascii="Times New Roman" w:hAnsi="Times New Roman" w:cs="Times New Roman"/>
                <w:b/>
                <w:snapToGrid w:val="0"/>
                <w:kern w:val="32"/>
                <w:sz w:val="24"/>
              </w:rPr>
            </w:pPr>
            <w:r>
              <w:rPr>
                <w:rFonts w:ascii="Times New Roman" w:hAnsi="Times New Roman" w:cs="Times New Roman"/>
                <w:b/>
                <w:snapToGrid w:val="0"/>
                <w:kern w:val="32"/>
                <w:sz w:val="24"/>
              </w:rPr>
              <w:t>严重隐患内容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1</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未与充电车辆连接时，充电接口带危险电压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2</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用户通过设备通风孔等开孔能接触到内部危险带电部件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3</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拔枪后，充电接口危险电压泄放时间过长（&gt;1s）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4</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模拟对地绝缘故障发生时，直流充电机没有相应保护措施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5</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模拟BMS发送故障报文（过温、过流、过压）时，直流充电机没有响应，继续充电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6</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直流充电机充电时过电流保护断路器动作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7</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充电设备内部导电部位覆盖有潮湿物或铁屑等导电杂物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8</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正常充电时，漏电保护装置动作（说明处于漏电状态）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9</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模拟漏电情况发生时，漏电保护装置不动作（或未安装漏电保护装置）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10</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接地连续性不完好，接地回路阻抗过大或断开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1"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11</w:t>
            </w:r>
          </w:p>
        </w:tc>
        <w:tc>
          <w:tcPr>
            <w:tcW w:w="7688" w:type="dxa"/>
            <w:vAlign w:val="center"/>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启动急停装置时，设备不能切断电源输入</w:t>
            </w:r>
          </w:p>
        </w:tc>
      </w:tr>
    </w:tbl>
    <w:p/>
    <w:p>
      <w:pPr>
        <w:spacing w:line="560" w:lineRule="exact"/>
        <w:jc w:val="center"/>
        <w:rPr>
          <w:rFonts w:ascii="仿宋_GB2312" w:hAnsi="仿宋" w:eastAsia="仿宋_GB2312" w:cs="Times New Roman"/>
          <w:bCs/>
          <w:snapToGrid w:val="0"/>
          <w:kern w:val="32"/>
          <w:szCs w:val="21"/>
        </w:rPr>
      </w:pPr>
      <w:r>
        <w:rPr>
          <w:rFonts w:hint="eastAsia" w:ascii="黑体" w:hAnsi="黑体" w:eastAsia="黑体" w:cs="Times New Roman"/>
          <w:bCs/>
          <w:snapToGrid w:val="0"/>
          <w:kern w:val="32"/>
          <w:sz w:val="28"/>
          <w:szCs w:val="32"/>
        </w:rPr>
        <w:t>表4 换电站严重隐患内容</w:t>
      </w:r>
    </w:p>
    <w:tbl>
      <w:tblPr>
        <w:tblStyle w:val="9"/>
        <w:tblW w:w="846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7"/>
        <w:gridCol w:w="76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blHeader/>
        </w:trPr>
        <w:tc>
          <w:tcPr>
            <w:tcW w:w="847" w:type="dxa"/>
            <w:vAlign w:val="center"/>
          </w:tcPr>
          <w:p>
            <w:pPr>
              <w:widowControl/>
              <w:tabs>
                <w:tab w:val="left" w:pos="1190"/>
              </w:tabs>
              <w:jc w:val="center"/>
              <w:rPr>
                <w:rFonts w:ascii="Times New Roman" w:hAnsi="Times New Roman" w:cs="Times New Roman"/>
                <w:b/>
                <w:snapToGrid w:val="0"/>
                <w:kern w:val="32"/>
                <w:sz w:val="24"/>
              </w:rPr>
            </w:pPr>
            <w:r>
              <w:rPr>
                <w:rFonts w:ascii="Times New Roman" w:hAnsi="Times New Roman" w:cs="Times New Roman"/>
                <w:b/>
                <w:snapToGrid w:val="0"/>
                <w:kern w:val="32"/>
                <w:sz w:val="24"/>
              </w:rPr>
              <w:t>序号</w:t>
            </w:r>
          </w:p>
        </w:tc>
        <w:tc>
          <w:tcPr>
            <w:tcW w:w="7622" w:type="dxa"/>
          </w:tcPr>
          <w:p>
            <w:pPr>
              <w:widowControl/>
              <w:tabs>
                <w:tab w:val="left" w:pos="1190"/>
              </w:tabs>
              <w:jc w:val="center"/>
              <w:rPr>
                <w:rFonts w:ascii="Times New Roman" w:hAnsi="Times New Roman" w:cs="Times New Roman"/>
                <w:b/>
                <w:snapToGrid w:val="0"/>
                <w:kern w:val="32"/>
                <w:sz w:val="24"/>
              </w:rPr>
            </w:pPr>
            <w:r>
              <w:rPr>
                <w:rFonts w:ascii="Times New Roman" w:hAnsi="Times New Roman" w:cs="Times New Roman"/>
                <w:b/>
                <w:snapToGrid w:val="0"/>
                <w:kern w:val="32"/>
                <w:sz w:val="24"/>
              </w:rPr>
              <w:t>严重隐患内容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1</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换电站内未设置事故电池隔离措施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2</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充换电工作区存放易燃易爆物品、污染和腐蚀介质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3</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电池</w:t>
            </w:r>
            <w:r>
              <w:rPr>
                <w:rFonts w:hint="eastAsia" w:ascii="Times New Roman" w:hAnsi="Times New Roman" w:cs="Times New Roman"/>
                <w:bCs/>
                <w:snapToGrid w:val="0"/>
                <w:kern w:val="32"/>
                <w:sz w:val="24"/>
              </w:rPr>
              <w:t>仓</w:t>
            </w:r>
            <w:r>
              <w:rPr>
                <w:rFonts w:ascii="Times New Roman" w:hAnsi="Times New Roman" w:cs="Times New Roman"/>
                <w:bCs/>
                <w:snapToGrid w:val="0"/>
                <w:kern w:val="32"/>
                <w:sz w:val="24"/>
              </w:rPr>
              <w:t>不具备温度调节功能，不具备烟雾报警功能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4</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充电架未采用框架组合结构，或有变形、污渍、倾斜，不牢固可靠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5</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供电系统容量不满足充换电、照明、监控、办公等用电要求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6</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变配电室的电缆沟无防水、排水措施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44"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7</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电池更换监控系统不具备对电池箱充电状态、电池箱更换状态、设备运行状态、电池箱更换过程等进行监视和控制的功能，不具备电池储存环境监测功能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4"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8</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未安装充电设施运行状态实时监控装置，或与监控平台不能有效连接，不能实现故障监测、系统化方式对过充实行冗余保护控制措施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9</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消防设备及防护器材不齐备，设备防雷保护装置不符合规范要求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10</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挪用消防器材，埋压和圈占消防设施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11</w:t>
            </w:r>
          </w:p>
        </w:tc>
        <w:tc>
          <w:tcPr>
            <w:tcW w:w="7622" w:type="dxa"/>
          </w:tcPr>
          <w:p>
            <w:pPr>
              <w:widowControl/>
              <w:tabs>
                <w:tab w:val="left" w:pos="1190"/>
              </w:tabs>
              <w:jc w:val="left"/>
              <w:rPr>
                <w:rFonts w:ascii="Times New Roman" w:hAnsi="Times New Roman" w:cs="Times New Roman"/>
                <w:bCs/>
                <w:snapToGrid w:val="0"/>
                <w:kern w:val="32"/>
                <w:sz w:val="24"/>
              </w:rPr>
            </w:pPr>
            <w:r>
              <w:rPr>
                <w:rFonts w:hint="eastAsia" w:ascii="Times New Roman" w:hAnsi="Times New Roman" w:cs="Times New Roman"/>
                <w:bCs/>
                <w:snapToGrid w:val="0"/>
                <w:kern w:val="32"/>
                <w:sz w:val="24"/>
              </w:rPr>
              <w:t>换电站</w:t>
            </w:r>
            <w:r>
              <w:rPr>
                <w:rFonts w:ascii="Times New Roman" w:hAnsi="Times New Roman" w:cs="Times New Roman"/>
                <w:bCs/>
                <w:snapToGrid w:val="0"/>
                <w:kern w:val="32"/>
                <w:sz w:val="24"/>
              </w:rPr>
              <w:t>应急照明设施故障损坏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4"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12</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对充配电设备的系统控制及保护功能（如接地保护连接、漏电保护、急停保护、线缆接口等电气绝缘及隔离防护）等不符合要求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021"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13</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直流充电设备不具有故障监测告警功能，过流等电气安全保护功能不正常；充（换）电设备不具有电池极值设定自动保护功能；充（换）电设备不具有输出电压最高值过压保护控制功能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847" w:type="dxa"/>
            <w:vAlign w:val="center"/>
          </w:tcPr>
          <w:p>
            <w:pPr>
              <w:widowControl/>
              <w:tabs>
                <w:tab w:val="left" w:pos="1190"/>
              </w:tabs>
              <w:jc w:val="center"/>
              <w:rPr>
                <w:rFonts w:ascii="Times New Roman" w:hAnsi="Times New Roman" w:cs="Times New Roman"/>
                <w:bCs/>
                <w:snapToGrid w:val="0"/>
                <w:kern w:val="32"/>
                <w:sz w:val="24"/>
              </w:rPr>
            </w:pPr>
            <w:r>
              <w:rPr>
                <w:rFonts w:ascii="Times New Roman" w:hAnsi="Times New Roman" w:cs="Times New Roman"/>
                <w:bCs/>
                <w:snapToGrid w:val="0"/>
                <w:kern w:val="32"/>
                <w:sz w:val="24"/>
              </w:rPr>
              <w:t>14</w:t>
            </w:r>
          </w:p>
        </w:tc>
        <w:tc>
          <w:tcPr>
            <w:tcW w:w="7622" w:type="dxa"/>
          </w:tcPr>
          <w:p>
            <w:pPr>
              <w:widowControl/>
              <w:tabs>
                <w:tab w:val="left" w:pos="1190"/>
              </w:tabs>
              <w:jc w:val="left"/>
              <w:rPr>
                <w:rFonts w:ascii="Times New Roman" w:hAnsi="Times New Roman" w:cs="Times New Roman"/>
                <w:bCs/>
                <w:snapToGrid w:val="0"/>
                <w:kern w:val="32"/>
                <w:sz w:val="24"/>
              </w:rPr>
            </w:pPr>
            <w:r>
              <w:rPr>
                <w:rFonts w:ascii="Times New Roman" w:hAnsi="Times New Roman" w:cs="Times New Roman"/>
                <w:bCs/>
                <w:snapToGrid w:val="0"/>
                <w:kern w:val="32"/>
                <w:sz w:val="24"/>
              </w:rPr>
              <w:t>无提供醒目且便于操作的急停按钮</w:t>
            </w:r>
          </w:p>
        </w:tc>
      </w:tr>
    </w:tbl>
    <w:p>
      <w:pPr>
        <w:ind w:firstLine="612"/>
        <w:rPr>
          <w:rFonts w:ascii="仿宋_GB2312" w:hAnsi="仿宋" w:eastAsia="仿宋_GB2312" w:cs="Times New Roman"/>
          <w:bCs/>
          <w:snapToGrid w:val="0"/>
          <w:kern w:val="32"/>
          <w:szCs w:val="21"/>
        </w:rPr>
      </w:pPr>
    </w:p>
    <w:p>
      <w:pPr>
        <w:spacing w:line="560" w:lineRule="exact"/>
        <w:ind w:firstLine="640" w:firstLineChars="200"/>
        <w:rPr>
          <w:rFonts w:ascii="仿宋_GB2312" w:hAnsi="仿宋"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仿宋" w:eastAsia="仿宋_GB2312" w:cs="Times New Roman"/>
          <w:bCs/>
          <w:snapToGrid w:val="0"/>
          <w:kern w:val="32"/>
          <w:sz w:val="32"/>
          <w:szCs w:val="32"/>
        </w:rPr>
        <w:t>该指标为前提条件性指标，不参与综合评分计算。</w:t>
      </w:r>
      <w:r>
        <w:rPr>
          <w:rFonts w:hint="eastAsia" w:ascii="仿宋_GB2312" w:hAnsi="黑体" w:eastAsia="仿宋_GB2312" w:cs="Times New Roman"/>
          <w:bCs/>
          <w:snapToGrid w:val="0"/>
          <w:kern w:val="32"/>
          <w:sz w:val="32"/>
          <w:szCs w:val="36"/>
        </w:rPr>
        <w:t>市、区管理部门（或委托第三方）</w:t>
      </w:r>
      <w:r>
        <w:rPr>
          <w:rFonts w:hint="eastAsia" w:ascii="仿宋_GB2312" w:hAnsi="仿宋" w:eastAsia="仿宋_GB2312" w:cs="Times New Roman"/>
          <w:bCs/>
          <w:snapToGrid w:val="0"/>
          <w:kern w:val="32"/>
          <w:sz w:val="32"/>
          <w:szCs w:val="32"/>
        </w:rPr>
        <w:t>在考核期内对充换电站进行检查，若发现</w:t>
      </w:r>
      <w:r>
        <w:rPr>
          <w:rFonts w:hint="eastAsia" w:ascii="仿宋_GB2312" w:hAnsi="仿宋" w:eastAsia="仿宋_GB2312" w:cs="Times New Roman"/>
          <w:bCs/>
          <w:snapToGrid w:val="0"/>
          <w:kern w:val="32"/>
          <w:sz w:val="32"/>
          <w:szCs w:val="32"/>
          <w:lang w:eastAsia="zh-Hans"/>
        </w:rPr>
        <w:t>严重</w:t>
      </w:r>
      <w:r>
        <w:rPr>
          <w:rFonts w:hint="eastAsia" w:ascii="仿宋_GB2312" w:hAnsi="仿宋" w:eastAsia="仿宋_GB2312" w:cs="Times New Roman"/>
          <w:bCs/>
          <w:snapToGrid w:val="0"/>
          <w:kern w:val="32"/>
          <w:sz w:val="32"/>
          <w:szCs w:val="32"/>
        </w:rPr>
        <w:t>隐患，则取消该充换电站本年奖励资格；否则，根据其他指标进行综合评分。</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三、一般隐患整改及时性</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仿宋" w:eastAsia="仿宋_GB2312" w:cs="Times New Roman"/>
          <w:bCs/>
          <w:snapToGrid w:val="0"/>
          <w:kern w:val="32"/>
          <w:sz w:val="32"/>
          <w:szCs w:val="32"/>
        </w:rPr>
        <w:t>以充换电站为考核对象，</w:t>
      </w:r>
      <w:r>
        <w:rPr>
          <w:rFonts w:hint="eastAsia" w:ascii="仿宋_GB2312" w:hAnsi="宋体" w:eastAsia="仿宋_GB2312" w:cs="Times New Roman"/>
          <w:bCs/>
          <w:snapToGrid w:val="0"/>
          <w:kern w:val="32"/>
          <w:sz w:val="32"/>
          <w:szCs w:val="32"/>
        </w:rPr>
        <w:t>安全生产检查出表5、表6中</w:t>
      </w:r>
      <w:r>
        <w:rPr>
          <w:rFonts w:ascii="仿宋_GB2312" w:hAnsi="宋体" w:eastAsia="仿宋_GB2312" w:cs="Times New Roman"/>
          <w:bCs/>
          <w:snapToGrid w:val="0"/>
          <w:kern w:val="32"/>
          <w:sz w:val="32"/>
          <w:szCs w:val="32"/>
        </w:rPr>
        <w:t>任一</w:t>
      </w:r>
      <w:r>
        <w:rPr>
          <w:rFonts w:hint="eastAsia" w:ascii="仿宋_GB2312" w:hAnsi="宋体" w:eastAsia="仿宋_GB2312" w:cs="Times New Roman"/>
          <w:bCs/>
          <w:snapToGrid w:val="0"/>
          <w:kern w:val="32"/>
          <w:sz w:val="32"/>
          <w:szCs w:val="32"/>
        </w:rPr>
        <w:t>隐患，若在10日内提交整改报告并通过复查，视为隐患整改及时。</w:t>
      </w:r>
    </w:p>
    <w:p>
      <w:pPr>
        <w:spacing w:line="560" w:lineRule="exact"/>
        <w:jc w:val="center"/>
        <w:rPr>
          <w:rFonts w:ascii="黑体" w:hAnsi="黑体" w:eastAsia="黑体" w:cs="Times New Roman"/>
          <w:bCs/>
          <w:snapToGrid w:val="0"/>
          <w:kern w:val="32"/>
          <w:sz w:val="28"/>
          <w:szCs w:val="32"/>
        </w:rPr>
      </w:pPr>
      <w:r>
        <w:rPr>
          <w:rFonts w:hint="eastAsia" w:ascii="黑体" w:hAnsi="黑体" w:eastAsia="黑体" w:cs="Times New Roman"/>
          <w:bCs/>
          <w:snapToGrid w:val="0"/>
          <w:kern w:val="32"/>
          <w:sz w:val="28"/>
          <w:szCs w:val="32"/>
        </w:rPr>
        <w:t>表5 充电站一般隐患内容</w:t>
      </w:r>
    </w:p>
    <w:tbl>
      <w:tblPr>
        <w:tblStyle w:val="9"/>
        <w:tblW w:w="8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7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59" w:type="dxa"/>
            <w:vAlign w:val="center"/>
          </w:tcPr>
          <w:p>
            <w:pPr>
              <w:widowControl/>
              <w:tabs>
                <w:tab w:val="left" w:pos="1190"/>
              </w:tabs>
              <w:jc w:val="center"/>
              <w:rPr>
                <w:rFonts w:ascii="Times New Roman" w:hAnsi="Times New Roman" w:eastAsia="宋体" w:cs="Times New Roman"/>
                <w:b/>
                <w:snapToGrid w:val="0"/>
                <w:kern w:val="32"/>
                <w:sz w:val="24"/>
              </w:rPr>
            </w:pPr>
            <w:r>
              <w:rPr>
                <w:rFonts w:ascii="Times New Roman" w:hAnsi="Times New Roman" w:eastAsia="宋体" w:cs="Times New Roman"/>
                <w:b/>
                <w:snapToGrid w:val="0"/>
                <w:kern w:val="32"/>
                <w:sz w:val="24"/>
              </w:rPr>
              <w:t>序号</w:t>
            </w:r>
          </w:p>
        </w:tc>
        <w:tc>
          <w:tcPr>
            <w:tcW w:w="7610" w:type="dxa"/>
            <w:vAlign w:val="center"/>
          </w:tcPr>
          <w:p>
            <w:pPr>
              <w:widowControl/>
              <w:tabs>
                <w:tab w:val="left" w:pos="1190"/>
              </w:tabs>
              <w:jc w:val="center"/>
              <w:rPr>
                <w:rFonts w:ascii="Times New Roman" w:hAnsi="Times New Roman" w:eastAsia="宋体" w:cs="Times New Roman"/>
                <w:b/>
                <w:snapToGrid w:val="0"/>
                <w:kern w:val="32"/>
                <w:sz w:val="24"/>
              </w:rPr>
            </w:pPr>
            <w:r>
              <w:rPr>
                <w:rFonts w:ascii="Times New Roman" w:hAnsi="Times New Roman" w:eastAsia="宋体" w:cs="Times New Roman"/>
                <w:b/>
                <w:snapToGrid w:val="0"/>
                <w:kern w:val="32"/>
                <w:sz w:val="24"/>
              </w:rPr>
              <w:t>充电设施隐患内容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1</w:t>
            </w:r>
          </w:p>
        </w:tc>
        <w:tc>
          <w:tcPr>
            <w:tcW w:w="7610" w:type="dxa"/>
            <w:vAlign w:val="center"/>
          </w:tcPr>
          <w:p>
            <w:pPr>
              <w:widowControl/>
              <w:tabs>
                <w:tab w:val="left" w:pos="1190"/>
              </w:tabs>
              <w:jc w:val="left"/>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配电柜或充电设备内部配线凌乱，未可靠固定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2</w:t>
            </w:r>
          </w:p>
        </w:tc>
        <w:tc>
          <w:tcPr>
            <w:tcW w:w="7610" w:type="dxa"/>
            <w:vAlign w:val="center"/>
          </w:tcPr>
          <w:p>
            <w:pPr>
              <w:widowControl/>
              <w:tabs>
                <w:tab w:val="left" w:pos="1190"/>
              </w:tabs>
              <w:jc w:val="left"/>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配电设备外部无警告标识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3</w:t>
            </w:r>
          </w:p>
        </w:tc>
        <w:tc>
          <w:tcPr>
            <w:tcW w:w="7610" w:type="dxa"/>
            <w:vAlign w:val="center"/>
          </w:tcPr>
          <w:p>
            <w:pPr>
              <w:widowControl/>
              <w:tabs>
                <w:tab w:val="left" w:pos="1190"/>
              </w:tabs>
              <w:jc w:val="left"/>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配电柜或设备内部，中性点、地线接线点等无标识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4</w:t>
            </w:r>
          </w:p>
        </w:tc>
        <w:tc>
          <w:tcPr>
            <w:tcW w:w="7610" w:type="dxa"/>
            <w:vAlign w:val="center"/>
          </w:tcPr>
          <w:p>
            <w:pPr>
              <w:widowControl/>
              <w:tabs>
                <w:tab w:val="left" w:pos="1190"/>
              </w:tabs>
              <w:jc w:val="left"/>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配电回路断路器等器件额定电流容量不足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5</w:t>
            </w:r>
          </w:p>
        </w:tc>
        <w:tc>
          <w:tcPr>
            <w:tcW w:w="7610" w:type="dxa"/>
            <w:vAlign w:val="center"/>
          </w:tcPr>
          <w:p>
            <w:pPr>
              <w:widowControl/>
              <w:tabs>
                <w:tab w:val="left" w:pos="1190"/>
              </w:tabs>
              <w:jc w:val="left"/>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交流充电桩电气回路未安装A型或以上规格漏电保护装置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6</w:t>
            </w:r>
          </w:p>
        </w:tc>
        <w:tc>
          <w:tcPr>
            <w:tcW w:w="7610" w:type="dxa"/>
            <w:vAlign w:val="center"/>
          </w:tcPr>
          <w:p>
            <w:pPr>
              <w:widowControl/>
              <w:tabs>
                <w:tab w:val="left" w:pos="1190"/>
              </w:tabs>
              <w:jc w:val="left"/>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电气设备防护等级不够或外壳防护有破损（含开口处未有效封堵）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7</w:t>
            </w:r>
          </w:p>
        </w:tc>
        <w:tc>
          <w:tcPr>
            <w:tcW w:w="7610" w:type="dxa"/>
            <w:vAlign w:val="center"/>
          </w:tcPr>
          <w:p>
            <w:pPr>
              <w:widowControl/>
              <w:tabs>
                <w:tab w:val="left" w:pos="1190"/>
              </w:tabs>
              <w:jc w:val="left"/>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配电柜或其他设备内部电气关键连接点有锈蚀迹象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9"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8</w:t>
            </w:r>
          </w:p>
        </w:tc>
        <w:tc>
          <w:tcPr>
            <w:tcW w:w="7610" w:type="dxa"/>
            <w:vAlign w:val="center"/>
          </w:tcPr>
          <w:p>
            <w:pPr>
              <w:widowControl/>
              <w:tabs>
                <w:tab w:val="left" w:pos="1190"/>
              </w:tabs>
              <w:jc w:val="left"/>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电气设备内部、外部周边有易燃或导电杂物、垃圾（应立即打扫清理）</w:t>
            </w:r>
          </w:p>
        </w:tc>
      </w:tr>
    </w:tbl>
    <w:p>
      <w:pPr>
        <w:ind w:firstLine="612"/>
        <w:rPr>
          <w:rFonts w:ascii="仿宋_GB2312" w:hAnsi="仿宋" w:eastAsia="仿宋_GB2312" w:cs="Times New Roman"/>
          <w:bCs/>
          <w:snapToGrid w:val="0"/>
          <w:kern w:val="32"/>
          <w:szCs w:val="21"/>
        </w:rPr>
      </w:pPr>
    </w:p>
    <w:p>
      <w:pPr>
        <w:autoSpaceDE w:val="0"/>
        <w:autoSpaceDN w:val="0"/>
        <w:snapToGrid w:val="0"/>
        <w:spacing w:before="241" w:after="40" w:line="350" w:lineRule="exact"/>
        <w:jc w:val="center"/>
        <w:rPr>
          <w:rFonts w:ascii="黑体" w:hAnsi="黑体" w:eastAsia="黑体" w:cs="黑体"/>
          <w:sz w:val="28"/>
        </w:rPr>
      </w:pPr>
      <w:r>
        <w:rPr>
          <w:rFonts w:ascii="黑体" w:hAnsi="黑体" w:eastAsia="黑体" w:cs="黑体"/>
          <w:spacing w:val="35"/>
          <w:sz w:val="28"/>
        </w:rPr>
        <w:t>表</w:t>
      </w:r>
      <w:r>
        <w:rPr>
          <w:rFonts w:hint="eastAsia" w:ascii="黑体" w:hAnsi="黑体" w:eastAsia="黑体" w:cs="黑体"/>
          <w:sz w:val="28"/>
        </w:rPr>
        <w:t>6</w:t>
      </w:r>
      <w:r>
        <w:rPr>
          <w:rFonts w:ascii="黑体" w:hAnsi="黑体" w:eastAsia="黑体" w:cs="黑体"/>
          <w:spacing w:val="-1"/>
          <w:sz w:val="28"/>
        </w:rPr>
        <w:t xml:space="preserve"> </w:t>
      </w:r>
      <w:r>
        <w:rPr>
          <w:rFonts w:ascii="黑体" w:hAnsi="黑体" w:eastAsia="黑体" w:cs="黑体"/>
          <w:sz w:val="28"/>
        </w:rPr>
        <w:t>换</w:t>
      </w:r>
      <w:r>
        <w:rPr>
          <w:rFonts w:ascii="黑体" w:hAnsi="黑体" w:eastAsia="黑体" w:cs="黑体"/>
          <w:spacing w:val="-1"/>
          <w:sz w:val="28"/>
        </w:rPr>
        <w:t>电</w:t>
      </w:r>
      <w:r>
        <w:rPr>
          <w:rFonts w:ascii="黑体" w:hAnsi="黑体" w:eastAsia="黑体" w:cs="黑体"/>
          <w:sz w:val="28"/>
        </w:rPr>
        <w:t>站一般隐</w:t>
      </w:r>
      <w:r>
        <w:rPr>
          <w:rFonts w:ascii="黑体" w:hAnsi="黑体" w:eastAsia="黑体" w:cs="黑体"/>
          <w:spacing w:val="-1"/>
          <w:sz w:val="28"/>
        </w:rPr>
        <w:t>患</w:t>
      </w:r>
      <w:r>
        <w:rPr>
          <w:rFonts w:ascii="黑体" w:hAnsi="黑体" w:eastAsia="黑体" w:cs="黑体"/>
          <w:sz w:val="28"/>
        </w:rPr>
        <w:t>内容</w:t>
      </w:r>
    </w:p>
    <w:tbl>
      <w:tblPr>
        <w:tblStyle w:val="9"/>
        <w:tblW w:w="82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0"/>
        <w:gridCol w:w="75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96" w:hRule="exact"/>
        </w:trPr>
        <w:tc>
          <w:tcPr>
            <w:tcW w:w="750" w:type="dxa"/>
            <w:vAlign w:val="center"/>
          </w:tcPr>
          <w:p>
            <w:pPr>
              <w:widowControl/>
              <w:tabs>
                <w:tab w:val="left" w:pos="1190"/>
              </w:tabs>
              <w:jc w:val="center"/>
              <w:rPr>
                <w:rFonts w:ascii="Times New Roman" w:hAnsi="Times New Roman" w:eastAsia="宋体" w:cs="Times New Roman"/>
                <w:b/>
                <w:snapToGrid w:val="0"/>
                <w:kern w:val="32"/>
                <w:sz w:val="24"/>
              </w:rPr>
            </w:pPr>
            <w:r>
              <w:rPr>
                <w:rFonts w:ascii="Times New Roman" w:hAnsi="Times New Roman" w:eastAsia="宋体" w:cs="Times New Roman"/>
                <w:b/>
                <w:snapToGrid w:val="0"/>
                <w:kern w:val="32"/>
                <w:sz w:val="24"/>
              </w:rPr>
              <w:t>序号</w:t>
            </w:r>
          </w:p>
        </w:tc>
        <w:tc>
          <w:tcPr>
            <w:tcW w:w="7533" w:type="dxa"/>
            <w:vAlign w:val="center"/>
          </w:tcPr>
          <w:p>
            <w:pPr>
              <w:widowControl/>
              <w:tabs>
                <w:tab w:val="left" w:pos="1190"/>
              </w:tabs>
              <w:jc w:val="center"/>
              <w:rPr>
                <w:rFonts w:ascii="Times New Roman" w:hAnsi="Times New Roman" w:eastAsia="宋体" w:cs="Times New Roman"/>
                <w:b/>
                <w:snapToGrid w:val="0"/>
                <w:kern w:val="32"/>
                <w:sz w:val="24"/>
              </w:rPr>
            </w:pPr>
            <w:r>
              <w:rPr>
                <w:rFonts w:ascii="Times New Roman" w:hAnsi="Times New Roman" w:eastAsia="宋体" w:cs="Times New Roman"/>
                <w:b/>
                <w:snapToGrid w:val="0"/>
                <w:kern w:val="32"/>
                <w:sz w:val="24"/>
              </w:rPr>
              <w:t>一般隐患内容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4" w:hRule="exact"/>
        </w:trPr>
        <w:tc>
          <w:tcPr>
            <w:tcW w:w="750"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1</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未采用有效的隔离措施并设置警示标识来防止无关人员进入充电区和电池更换区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4" w:hRule="exact"/>
        </w:trPr>
        <w:tc>
          <w:tcPr>
            <w:tcW w:w="750"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2</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充换电设施未设置安全警示标志，提示用户注意设施环境、电气安全、安全操作等信息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4" w:hRule="exact"/>
        </w:trPr>
        <w:tc>
          <w:tcPr>
            <w:tcW w:w="750"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3</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充电架没有可靠接地，与电池箱不相匹配，不能与电池箱实现安全可靠的连接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4" w:hRule="exact"/>
        </w:trPr>
        <w:tc>
          <w:tcPr>
            <w:tcW w:w="750"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4</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充电机在站内布置不合理，不利于通风和散热；充电机与充电架之间的电缆连接未采用固定式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750"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5</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供电设备的安装不固定可靠、标识不明确、内外不清洁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4" w:hRule="exact"/>
        </w:trPr>
        <w:tc>
          <w:tcPr>
            <w:tcW w:w="750"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6</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充电机不具有待机、充电、充满等状态指示以及输出电压、输出电流等运行参数显示功能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750"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7</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电池充电系统与冷却系统（如有）、电池转运系统不连锁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750" w:type="dxa"/>
            <w:vAlign w:val="center"/>
          </w:tcPr>
          <w:p>
            <w:pPr>
              <w:widowControl/>
              <w:tabs>
                <w:tab w:val="left" w:pos="1190"/>
              </w:tabs>
              <w:jc w:val="center"/>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8</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电池箱连接器未采用强电与弱电分离的结构，不具有防误插的功能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22" w:hRule="exact"/>
        </w:trPr>
        <w:tc>
          <w:tcPr>
            <w:tcW w:w="750" w:type="dxa"/>
            <w:vAlign w:val="center"/>
          </w:tcPr>
          <w:p>
            <w:pPr>
              <w:widowControl/>
              <w:tabs>
                <w:tab w:val="left" w:pos="213"/>
                <w:tab w:val="center" w:pos="430"/>
                <w:tab w:val="left" w:pos="1190"/>
              </w:tabs>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9</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电池更换站内的电气设备未可靠接地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4" w:hRule="exact"/>
        </w:trPr>
        <w:tc>
          <w:tcPr>
            <w:tcW w:w="750" w:type="dxa"/>
            <w:vAlign w:val="center"/>
          </w:tcPr>
          <w:p>
            <w:pPr>
              <w:widowControl/>
              <w:tabs>
                <w:tab w:val="left" w:pos="1190"/>
              </w:tabs>
              <w:jc w:val="center"/>
              <w:rPr>
                <w:rFonts w:ascii="Times New Roman" w:hAnsi="Times New Roman" w:eastAsia="宋体" w:cs="Times New Roman"/>
                <w:bCs/>
                <w:snapToGrid w:val="0"/>
                <w:kern w:val="32"/>
                <w:sz w:val="24"/>
              </w:rPr>
            </w:pPr>
            <w:r>
              <w:rPr>
                <w:rFonts w:hint="eastAsia" w:ascii="Times New Roman" w:hAnsi="Times New Roman" w:eastAsia="宋体" w:cs="Times New Roman"/>
                <w:bCs/>
                <w:snapToGrid w:val="0"/>
                <w:kern w:val="32"/>
                <w:sz w:val="24"/>
              </w:rPr>
              <w:t>10</w:t>
            </w:r>
          </w:p>
        </w:tc>
        <w:tc>
          <w:tcPr>
            <w:tcW w:w="7533" w:type="dxa"/>
            <w:vAlign w:val="center"/>
          </w:tcPr>
          <w:p>
            <w:pPr>
              <w:widowControl/>
              <w:tabs>
                <w:tab w:val="left" w:pos="1190"/>
              </w:tabs>
              <w:rPr>
                <w:rFonts w:ascii="Times New Roman" w:hAnsi="Times New Roman" w:eastAsia="宋体" w:cs="Times New Roman"/>
                <w:bCs/>
                <w:snapToGrid w:val="0"/>
                <w:kern w:val="32"/>
                <w:sz w:val="24"/>
              </w:rPr>
            </w:pPr>
            <w:r>
              <w:rPr>
                <w:rFonts w:ascii="Times New Roman" w:hAnsi="Times New Roman" w:eastAsia="宋体" w:cs="Times New Roman"/>
                <w:bCs/>
                <w:snapToGrid w:val="0"/>
                <w:kern w:val="32"/>
                <w:sz w:val="24"/>
              </w:rPr>
              <w:t>监控系统未采用共用接地装置接地，接地电阻大于1Ω，采用专用接地装置时，接地电阻大于4Ω</w:t>
            </w:r>
          </w:p>
        </w:tc>
      </w:tr>
    </w:tbl>
    <w:p>
      <w:pPr>
        <w:ind w:firstLine="612"/>
        <w:rPr>
          <w:rFonts w:ascii="仿宋_GB2312" w:hAnsi="仿宋" w:eastAsia="仿宋_GB2312" w:cs="Times New Roman"/>
          <w:bCs/>
          <w:snapToGrid w:val="0"/>
          <w:kern w:val="32"/>
          <w:szCs w:val="21"/>
        </w:rPr>
      </w:pPr>
    </w:p>
    <w:p>
      <w:pPr>
        <w:spacing w:line="560" w:lineRule="exact"/>
        <w:ind w:firstLine="640" w:firstLineChars="200"/>
        <w:rPr>
          <w:rFonts w:hint="eastAsia" w:ascii="仿宋_GB2312" w:hAnsi="仿宋" w:eastAsia="仿宋_GB2312" w:cs="Times New Roman"/>
          <w:bCs/>
          <w:snapToGrid w:val="0"/>
          <w:kern w:val="32"/>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楷体_GB2312" w:hAnsi="楷体_GB2312" w:eastAsia="楷体_GB2312" w:cs="楷体_GB2312"/>
          <w:bCs/>
          <w:snapToGrid w:val="0"/>
          <w:kern w:val="32"/>
          <w:sz w:val="32"/>
          <w:szCs w:val="32"/>
        </w:rPr>
        <w:t>（二）计分方法：</w:t>
      </w:r>
      <w:r>
        <w:rPr>
          <w:rFonts w:hint="eastAsia" w:ascii="仿宋_GB2312" w:hAnsi="仿宋" w:eastAsia="仿宋_GB2312" w:cs="Times New Roman"/>
          <w:bCs/>
          <w:snapToGrid w:val="0"/>
          <w:kern w:val="32"/>
          <w:sz w:val="32"/>
          <w:szCs w:val="32"/>
        </w:rPr>
        <w:t>该指标为前提条件性指标，不参与综合评分计算。</w:t>
      </w:r>
      <w:r>
        <w:rPr>
          <w:rFonts w:hint="eastAsia" w:ascii="仿宋_GB2312" w:hAnsi="黑体" w:eastAsia="仿宋_GB2312" w:cs="Times New Roman"/>
          <w:bCs/>
          <w:snapToGrid w:val="0"/>
          <w:kern w:val="32"/>
          <w:sz w:val="32"/>
          <w:szCs w:val="36"/>
        </w:rPr>
        <w:t>市、区管理部门（或委托第三方）</w:t>
      </w:r>
      <w:r>
        <w:rPr>
          <w:rFonts w:hint="eastAsia" w:ascii="仿宋_GB2312" w:hAnsi="仿宋" w:eastAsia="仿宋_GB2312" w:cs="Times New Roman"/>
          <w:bCs/>
          <w:snapToGrid w:val="0"/>
          <w:kern w:val="32"/>
          <w:sz w:val="32"/>
          <w:szCs w:val="32"/>
        </w:rPr>
        <w:t>在考核期内对充换电站进行检查、通知整改，对整改不及时场站，取消</w:t>
      </w:r>
    </w:p>
    <w:p>
      <w:pPr>
        <w:spacing w:line="560" w:lineRule="exact"/>
        <w:ind w:firstLine="0" w:firstLineChars="0"/>
        <w:rPr>
          <w:rFonts w:ascii="仿宋_GB2312" w:hAnsi="仿宋" w:eastAsia="仿宋_GB2312" w:cs="Times New Roman"/>
          <w:bCs/>
          <w:snapToGrid w:val="0"/>
          <w:kern w:val="32"/>
          <w:sz w:val="32"/>
          <w:szCs w:val="32"/>
        </w:rPr>
      </w:pPr>
      <w:r>
        <w:rPr>
          <w:rFonts w:hint="eastAsia" w:ascii="仿宋_GB2312" w:hAnsi="仿宋" w:eastAsia="仿宋_GB2312" w:cs="Times New Roman"/>
          <w:bCs/>
          <w:snapToGrid w:val="0"/>
          <w:kern w:val="32"/>
          <w:sz w:val="32"/>
          <w:szCs w:val="32"/>
        </w:rPr>
        <w:t>该场站本年度奖励资格；</w:t>
      </w:r>
      <w:r>
        <w:rPr>
          <w:rFonts w:hint="eastAsia" w:ascii="仿宋_GB2312" w:hAnsi="仿宋" w:eastAsia="仿宋_GB2312" w:cs="Times New Roman"/>
          <w:bCs/>
          <w:snapToGrid w:val="0"/>
          <w:kern w:val="32"/>
          <w:sz w:val="32"/>
          <w:szCs w:val="32"/>
          <w:u w:val="none"/>
        </w:rPr>
        <w:t>情节严重的，取消申报单位本年度奖励资格</w:t>
      </w:r>
      <w:r>
        <w:rPr>
          <w:rFonts w:hint="eastAsia" w:ascii="仿宋_GB2312" w:hAnsi="仿宋" w:eastAsia="仿宋_GB2312" w:cs="Times New Roman"/>
          <w:bCs/>
          <w:snapToGrid w:val="0"/>
          <w:kern w:val="32"/>
          <w:sz w:val="32"/>
          <w:szCs w:val="32"/>
        </w:rPr>
        <w:t>。对整改及时的场站，根据其他指标进行综合评分计算。</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四、平均利用率</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宋体" w:eastAsia="仿宋_GB2312" w:cs="Times New Roman"/>
          <w:bCs/>
          <w:snapToGrid w:val="0"/>
          <w:kern w:val="32"/>
          <w:sz w:val="32"/>
          <w:szCs w:val="32"/>
        </w:rPr>
        <w:t>以充电站为</w:t>
      </w:r>
      <w:r>
        <w:rPr>
          <w:rFonts w:ascii="仿宋_GB2312" w:hAnsi="宋体" w:eastAsia="仿宋_GB2312" w:cs="Times New Roman"/>
          <w:bCs/>
          <w:snapToGrid w:val="0"/>
          <w:kern w:val="32"/>
          <w:sz w:val="32"/>
          <w:szCs w:val="32"/>
        </w:rPr>
        <w:t>考核对象</w:t>
      </w:r>
      <w:r>
        <w:rPr>
          <w:rFonts w:hint="eastAsia" w:ascii="仿宋_GB2312" w:hAnsi="宋体" w:eastAsia="仿宋_GB2312" w:cs="Times New Roman"/>
          <w:bCs/>
          <w:snapToGrid w:val="0"/>
          <w:kern w:val="32"/>
          <w:sz w:val="32"/>
          <w:szCs w:val="32"/>
        </w:rPr>
        <w:t>，平均利用率=充电量/（功率×服务时长）。</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将充电站平均利用率按照</w:t>
      </w:r>
      <w:r>
        <w:rPr>
          <w:rFonts w:hint="eastAsia" w:ascii="仿宋_GB2312" w:hAnsi="宋体" w:eastAsia="仿宋_GB2312" w:cs="Times New Roman"/>
          <w:bCs/>
          <w:snapToGrid w:val="0"/>
          <w:kern w:val="32"/>
          <w:sz w:val="32"/>
          <w:szCs w:val="32"/>
          <w:u w:val="none"/>
        </w:rPr>
        <w:t>旅游景区和其他场所两类分别</w:t>
      </w:r>
      <w:r>
        <w:rPr>
          <w:rFonts w:hint="eastAsia" w:ascii="仿宋_GB2312" w:hAnsi="宋体" w:eastAsia="仿宋_GB2312" w:cs="Times New Roman"/>
          <w:bCs/>
          <w:snapToGrid w:val="0"/>
          <w:kern w:val="32"/>
          <w:sz w:val="32"/>
          <w:szCs w:val="32"/>
        </w:rPr>
        <w:t>由大到小排名，该项得分=分值×（总站数-排名+1）/总站数，得分按四舍五入保留四位小数。</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五、电池平均周转率</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宋体" w:eastAsia="仿宋_GB2312" w:cs="Times New Roman"/>
          <w:bCs/>
          <w:snapToGrid w:val="0"/>
          <w:kern w:val="32"/>
          <w:sz w:val="32"/>
          <w:szCs w:val="32"/>
        </w:rPr>
        <w:t>以换电站为</w:t>
      </w:r>
      <w:r>
        <w:rPr>
          <w:rFonts w:ascii="仿宋_GB2312" w:hAnsi="宋体" w:eastAsia="仿宋_GB2312" w:cs="Times New Roman"/>
          <w:bCs/>
          <w:snapToGrid w:val="0"/>
          <w:kern w:val="32"/>
          <w:sz w:val="32"/>
          <w:szCs w:val="32"/>
        </w:rPr>
        <w:t>考核对象</w:t>
      </w:r>
      <w:r>
        <w:rPr>
          <w:rFonts w:hint="eastAsia" w:ascii="仿宋_GB2312" w:hAnsi="宋体" w:eastAsia="仿宋_GB2312" w:cs="Times New Roman"/>
          <w:bCs/>
          <w:snapToGrid w:val="0"/>
          <w:kern w:val="32"/>
          <w:sz w:val="32"/>
          <w:szCs w:val="32"/>
        </w:rPr>
        <w:t>，电池平均周转率=换电次数/站内电池数。</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将换电站电池平均周转率由大到小排名，该项得分=分值×（总站数-排名+1）/总站数，得分按四舍五入保留四位小数。</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六、平均故障率</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宋体" w:eastAsia="仿宋_GB2312" w:cs="Times New Roman"/>
          <w:bCs/>
          <w:snapToGrid w:val="0"/>
          <w:kern w:val="32"/>
          <w:sz w:val="32"/>
          <w:szCs w:val="32"/>
        </w:rPr>
        <w:t>以充换电站为考核对象，充电站平均故障率=站内设施故障总时长/设施在线总时长；换电站</w:t>
      </w:r>
      <w:r>
        <w:rPr>
          <w:rFonts w:ascii="仿宋_GB2312" w:hAnsi="仿宋_GB2312" w:eastAsia="仿宋_GB2312" w:cs="仿宋_GB2312"/>
          <w:spacing w:val="-1"/>
          <w:sz w:val="32"/>
        </w:rPr>
        <w:t>平</w:t>
      </w:r>
      <w:r>
        <w:rPr>
          <w:rFonts w:ascii="仿宋_GB2312" w:hAnsi="仿宋_GB2312" w:eastAsia="仿宋_GB2312" w:cs="仿宋_GB2312"/>
          <w:sz w:val="32"/>
        </w:rPr>
        <w:t>均</w:t>
      </w:r>
      <w:r>
        <w:rPr>
          <w:rFonts w:ascii="仿宋_GB2312" w:hAnsi="仿宋_GB2312" w:eastAsia="仿宋_GB2312" w:cs="仿宋_GB2312"/>
          <w:spacing w:val="-1"/>
          <w:sz w:val="32"/>
        </w:rPr>
        <w:t>故</w:t>
      </w:r>
      <w:r>
        <w:rPr>
          <w:rFonts w:ascii="仿宋_GB2312" w:hAnsi="仿宋_GB2312" w:eastAsia="仿宋_GB2312" w:cs="仿宋_GB2312"/>
          <w:sz w:val="32"/>
        </w:rPr>
        <w:t>障率</w:t>
      </w:r>
      <w:r>
        <w:rPr>
          <w:rFonts w:ascii="仿宋_GB2312" w:hAnsi="仿宋_GB2312" w:eastAsia="仿宋_GB2312" w:cs="仿宋_GB2312"/>
          <w:spacing w:val="6"/>
          <w:sz w:val="32"/>
        </w:rPr>
        <w:t>=</w:t>
      </w:r>
      <w:r>
        <w:rPr>
          <w:rFonts w:ascii="仿宋_GB2312" w:hAnsi="仿宋_GB2312" w:eastAsia="仿宋_GB2312" w:cs="仿宋_GB2312"/>
          <w:sz w:val="32"/>
        </w:rPr>
        <w:t>站内电池故障总时长/设施在线总时长。</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该项得分=分值×（1-平均故障率），得分按四舍五入保留四位小数。</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七、信息准确性</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仿宋" w:eastAsia="仿宋_GB2312" w:cs="Times New Roman"/>
          <w:bCs/>
          <w:snapToGrid w:val="0"/>
          <w:kern w:val="32"/>
          <w:sz w:val="32"/>
          <w:szCs w:val="32"/>
        </w:rPr>
        <w:t>以充换电站为考核对象，经</w:t>
      </w:r>
      <w:r>
        <w:rPr>
          <w:rFonts w:hint="eastAsia" w:ascii="仿宋_GB2312" w:hAnsi="宋体" w:eastAsia="仿宋_GB2312" w:cs="Times New Roman"/>
          <w:bCs/>
          <w:snapToGrid w:val="0"/>
          <w:kern w:val="32"/>
          <w:sz w:val="32"/>
          <w:szCs w:val="32"/>
        </w:rPr>
        <w:t>现场核查发现设施数量、功率、运行状态等与申报单位向市级平台报送/推送信息一致，则视为信息准确。</w:t>
      </w:r>
    </w:p>
    <w:p>
      <w:pPr>
        <w:spacing w:line="560" w:lineRule="exact"/>
        <w:ind w:firstLine="640" w:firstLineChars="200"/>
        <w:rPr>
          <w:rFonts w:ascii="黑体" w:hAnsi="黑体" w:eastAsia="黑体" w:cs="黑体"/>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若发现设施数量、功率信息不准确，发现一次该站该指标扣减2分；若运行状态信息不准确，则申报单位所有充换电站该指标扣减</w:t>
      </w:r>
      <w:r>
        <w:rPr>
          <w:rFonts w:ascii="仿宋_GB2312" w:hAnsi="宋体" w:eastAsia="仿宋_GB2312" w:cs="Times New Roman"/>
          <w:bCs/>
          <w:snapToGrid w:val="0"/>
          <w:kern w:val="32"/>
          <w:sz w:val="32"/>
          <w:szCs w:val="32"/>
        </w:rPr>
        <w:t>2</w:t>
      </w:r>
      <w:r>
        <w:rPr>
          <w:rFonts w:hint="eastAsia" w:ascii="仿宋_GB2312" w:hAnsi="宋体" w:eastAsia="仿宋_GB2312" w:cs="Times New Roman"/>
          <w:bCs/>
          <w:snapToGrid w:val="0"/>
          <w:kern w:val="32"/>
          <w:sz w:val="32"/>
          <w:szCs w:val="32"/>
        </w:rPr>
        <w:t>分，扣完为止。</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八、舆情及负面清单</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仿宋" w:eastAsia="仿宋_GB2312" w:cs="Times New Roman"/>
          <w:bCs/>
          <w:snapToGrid w:val="0"/>
          <w:kern w:val="32"/>
          <w:sz w:val="32"/>
          <w:szCs w:val="32"/>
        </w:rPr>
        <w:t>以充换电站为考核对象</w:t>
      </w:r>
      <w:r>
        <w:rPr>
          <w:rFonts w:hint="eastAsia" w:ascii="仿宋_GB2312" w:hAnsi="宋体" w:eastAsia="仿宋_GB2312" w:cs="Times New Roman"/>
          <w:bCs/>
          <w:snapToGrid w:val="0"/>
          <w:kern w:val="32"/>
          <w:sz w:val="32"/>
          <w:szCs w:val="32"/>
        </w:rPr>
        <w:t>，重点通过市民、媒体、市级平台考核充换电设施提供服务的质量。</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以市今日舆情等官方渠道为依据，经核实收到1条投诉，则对应充换电站扣减</w:t>
      </w:r>
      <w:r>
        <w:rPr>
          <w:rFonts w:ascii="仿宋_GB2312" w:hAnsi="宋体" w:eastAsia="仿宋_GB2312" w:cs="Times New Roman"/>
          <w:bCs/>
          <w:snapToGrid w:val="0"/>
          <w:kern w:val="32"/>
          <w:sz w:val="32"/>
          <w:szCs w:val="32"/>
        </w:rPr>
        <w:t>1</w:t>
      </w:r>
      <w:r>
        <w:rPr>
          <w:rFonts w:hint="eastAsia" w:ascii="仿宋_GB2312" w:hAnsi="宋体" w:eastAsia="仿宋_GB2312" w:cs="Times New Roman"/>
          <w:bCs/>
          <w:snapToGrid w:val="0"/>
          <w:kern w:val="32"/>
          <w:sz w:val="32"/>
          <w:szCs w:val="32"/>
        </w:rPr>
        <w:t>分，扣完为止。</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九、零电量充电站占比</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宋体" w:eastAsia="仿宋_GB2312" w:cs="Times New Roman"/>
          <w:bCs/>
          <w:snapToGrid w:val="0"/>
          <w:kern w:val="32"/>
          <w:sz w:val="32"/>
          <w:szCs w:val="32"/>
        </w:rPr>
        <w:t>以申报单位为考核对象，零电量充电站</w:t>
      </w:r>
      <w:r>
        <w:rPr>
          <w:rFonts w:hint="eastAsia" w:ascii="仿宋_GB2312" w:hAnsi="宋体" w:eastAsia="仿宋_GB2312" w:cs="Times New Roman"/>
          <w:bCs/>
          <w:snapToGrid w:val="0"/>
          <w:kern w:val="32"/>
          <w:sz w:val="32"/>
          <w:szCs w:val="32"/>
          <w:u w:val="none"/>
        </w:rPr>
        <w:t>（不含旅游景区内的充电站）</w:t>
      </w:r>
      <w:r>
        <w:rPr>
          <w:rFonts w:hint="eastAsia" w:ascii="仿宋_GB2312" w:hAnsi="宋体" w:eastAsia="仿宋_GB2312" w:cs="Times New Roman"/>
          <w:bCs/>
          <w:snapToGrid w:val="0"/>
          <w:kern w:val="32"/>
          <w:sz w:val="32"/>
          <w:szCs w:val="32"/>
        </w:rPr>
        <w:t>占比=考核期内充电站电量为0的场站数/接入市级平台的全部充电站。</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取消零电量充电站本年度奖励资格，申报单位所有申报充电站该项得分=分值×（1-零电量充电站占比），得分按四舍五入保留四位小数。</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lang w:eastAsia="zh-Hans"/>
        </w:rPr>
        <w:t>十</w:t>
      </w:r>
      <w:r>
        <w:rPr>
          <w:rFonts w:hint="eastAsia" w:ascii="黑体" w:hAnsi="黑体" w:eastAsia="黑体" w:cs="黑体"/>
          <w:bCs/>
          <w:snapToGrid w:val="0"/>
          <w:kern w:val="32"/>
          <w:sz w:val="32"/>
          <w:szCs w:val="32"/>
        </w:rPr>
        <w:t>、故障解决及时性</w:t>
      </w:r>
    </w:p>
    <w:p>
      <w:pPr>
        <w:spacing w:line="560" w:lineRule="exact"/>
        <w:ind w:firstLine="640" w:firstLineChars="200"/>
        <w:rPr>
          <w:rFonts w:ascii="仿宋_GB2312" w:hAnsi="宋体" w:eastAsia="仿宋_GB2312" w:cs="Times New Roman"/>
          <w:bCs/>
          <w:snapToGrid w:val="0"/>
          <w:kern w:val="32"/>
          <w:sz w:val="32"/>
          <w:szCs w:val="32"/>
          <w:highlight w:val="yellow"/>
        </w:rPr>
      </w:pPr>
      <w:r>
        <w:rPr>
          <w:rFonts w:hint="eastAsia" w:ascii="楷体_GB2312" w:hAnsi="楷体_GB2312" w:eastAsia="楷体_GB2312" w:cs="楷体_GB2312"/>
          <w:bCs/>
          <w:snapToGrid w:val="0"/>
          <w:kern w:val="32"/>
          <w:sz w:val="32"/>
          <w:szCs w:val="32"/>
        </w:rPr>
        <w:t>（一）指标解释：</w:t>
      </w:r>
      <w:r>
        <w:rPr>
          <w:rFonts w:hint="eastAsia" w:ascii="仿宋_GB2312" w:hAnsi="宋体" w:eastAsia="仿宋_GB2312" w:cs="Times New Roman"/>
          <w:bCs/>
          <w:snapToGrid w:val="0"/>
          <w:kern w:val="32"/>
          <w:sz w:val="32"/>
          <w:szCs w:val="32"/>
        </w:rPr>
        <w:t>以充换电站为考核对象，对出现掉线、故障问题，在</w:t>
      </w:r>
      <w:r>
        <w:rPr>
          <w:rFonts w:ascii="仿宋_GB2312" w:hAnsi="宋体" w:eastAsia="仿宋_GB2312" w:cs="Times New Roman"/>
          <w:bCs/>
          <w:snapToGrid w:val="0"/>
          <w:kern w:val="32"/>
          <w:sz w:val="32"/>
          <w:szCs w:val="32"/>
        </w:rPr>
        <w:t>24</w:t>
      </w:r>
      <w:r>
        <w:rPr>
          <w:rFonts w:hint="eastAsia" w:ascii="仿宋_GB2312" w:hAnsi="宋体" w:eastAsia="仿宋_GB2312" w:cs="Times New Roman"/>
          <w:bCs/>
          <w:snapToGrid w:val="0"/>
          <w:kern w:val="32"/>
          <w:sz w:val="32"/>
          <w:szCs w:val="32"/>
        </w:rPr>
        <w:t>小时之内排除，视为故障解决及时。</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若考核期内每出现1次解决不及时，则该站该指标扣减3分，直至扣减至0分。</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lang w:eastAsia="zh-Hans"/>
        </w:rPr>
        <w:t>十</w:t>
      </w:r>
      <w:r>
        <w:rPr>
          <w:rFonts w:hint="eastAsia" w:ascii="黑体" w:hAnsi="黑体" w:eastAsia="黑体" w:cs="黑体"/>
          <w:bCs/>
          <w:snapToGrid w:val="0"/>
          <w:kern w:val="32"/>
          <w:sz w:val="32"/>
          <w:szCs w:val="32"/>
        </w:rPr>
        <w:t>一、设施管理及时性</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宋体" w:eastAsia="仿宋_GB2312" w:cs="Times New Roman"/>
          <w:bCs/>
          <w:snapToGrid w:val="0"/>
          <w:kern w:val="32"/>
          <w:sz w:val="32"/>
          <w:szCs w:val="32"/>
        </w:rPr>
        <w:t>以充换电站为考核对象，以下3种情况被视为设施管理不及时：1.经现场核查发现整站不通电或拆除；2.对暂停运充换电站，未及时在企业平台、合作平台及现场公示暂停运信息，未在24小时内告知市级平台；3.对接入市级平台所有充换电站监测出现长期闲置、暂停运问题，在接到市级平台通知24小时内未完成响应。</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若发现设施管理不及时，则取消</w:t>
      </w:r>
      <w:r>
        <w:rPr>
          <w:rFonts w:ascii="仿宋_GB2312" w:hAnsi="宋体" w:eastAsia="仿宋_GB2312" w:cs="Times New Roman"/>
          <w:bCs/>
          <w:snapToGrid w:val="0"/>
          <w:kern w:val="32"/>
          <w:sz w:val="32"/>
          <w:szCs w:val="32"/>
        </w:rPr>
        <w:t>该</w:t>
      </w:r>
      <w:r>
        <w:rPr>
          <w:rFonts w:hint="eastAsia" w:ascii="仿宋_GB2312" w:hAnsi="宋体" w:eastAsia="仿宋_GB2312" w:cs="Times New Roman"/>
          <w:bCs/>
          <w:snapToGrid w:val="0"/>
          <w:kern w:val="32"/>
          <w:sz w:val="32"/>
          <w:szCs w:val="32"/>
        </w:rPr>
        <w:t>充换电站本年度</w:t>
      </w:r>
      <w:r>
        <w:rPr>
          <w:rFonts w:ascii="仿宋_GB2312" w:hAnsi="宋体" w:eastAsia="仿宋_GB2312" w:cs="Times New Roman"/>
          <w:bCs/>
          <w:snapToGrid w:val="0"/>
          <w:kern w:val="32"/>
          <w:sz w:val="32"/>
          <w:szCs w:val="32"/>
        </w:rPr>
        <w:t>奖励</w:t>
      </w:r>
      <w:r>
        <w:rPr>
          <w:rFonts w:hint="eastAsia" w:ascii="仿宋_GB2312" w:hAnsi="宋体" w:eastAsia="仿宋_GB2312" w:cs="Times New Roman"/>
          <w:bCs/>
          <w:snapToGrid w:val="0"/>
          <w:kern w:val="32"/>
          <w:sz w:val="32"/>
          <w:szCs w:val="32"/>
        </w:rPr>
        <w:t>资格</w:t>
      </w:r>
      <w:r>
        <w:rPr>
          <w:rFonts w:ascii="仿宋_GB2312" w:hAnsi="宋体" w:eastAsia="仿宋_GB2312" w:cs="Times New Roman"/>
          <w:bCs/>
          <w:snapToGrid w:val="0"/>
          <w:kern w:val="32"/>
          <w:sz w:val="32"/>
          <w:szCs w:val="32"/>
        </w:rPr>
        <w:t>，且</w:t>
      </w:r>
      <w:r>
        <w:rPr>
          <w:rFonts w:hint="eastAsia" w:ascii="仿宋_GB2312" w:hAnsi="宋体" w:eastAsia="仿宋_GB2312" w:cs="Times New Roman"/>
          <w:bCs/>
          <w:snapToGrid w:val="0"/>
          <w:kern w:val="32"/>
          <w:sz w:val="32"/>
          <w:szCs w:val="32"/>
        </w:rPr>
        <w:t>申报单位其余充换电站该指标扣减2分。</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十二、状态固定推送及时率</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宋体" w:eastAsia="仿宋_GB2312" w:cs="Times New Roman"/>
          <w:bCs/>
          <w:snapToGrid w:val="0"/>
          <w:kern w:val="32"/>
          <w:sz w:val="32"/>
          <w:szCs w:val="32"/>
        </w:rPr>
        <w:t>以充换电站为考核对象，充电站重点考核设施处于网络断开连接（掉线）或故障两种状态的信息推送及时性。换电站重点考核充电仓动态、运营动态信息推送及时性。</w:t>
      </w:r>
      <w:r>
        <w:rPr>
          <w:rFonts w:ascii="仿宋_GB2312" w:hAnsi="宋体" w:eastAsia="仿宋_GB2312" w:cs="Times New Roman"/>
          <w:bCs/>
          <w:snapToGrid w:val="0"/>
          <w:kern w:val="32"/>
          <w:sz w:val="32"/>
          <w:szCs w:val="32"/>
        </w:rPr>
        <w:t>状态</w:t>
      </w:r>
      <w:r>
        <w:rPr>
          <w:rFonts w:hint="eastAsia" w:ascii="仿宋_GB2312" w:hAnsi="宋体" w:eastAsia="仿宋_GB2312" w:cs="Times New Roman"/>
          <w:bCs/>
          <w:snapToGrid w:val="0"/>
          <w:kern w:val="32"/>
          <w:sz w:val="32"/>
          <w:szCs w:val="32"/>
        </w:rPr>
        <w:t>固定推送及时率=考核期内，每日</w:t>
      </w:r>
      <w:r>
        <w:rPr>
          <w:rFonts w:ascii="仿宋_GB2312" w:hAnsi="宋体" w:eastAsia="仿宋_GB2312" w:cs="Times New Roman"/>
          <w:bCs/>
          <w:snapToGrid w:val="0"/>
          <w:kern w:val="32"/>
          <w:sz w:val="32"/>
          <w:szCs w:val="32"/>
        </w:rPr>
        <w:t>状态</w:t>
      </w:r>
      <w:r>
        <w:rPr>
          <w:rFonts w:hint="eastAsia" w:ascii="仿宋_GB2312" w:hAnsi="宋体" w:eastAsia="仿宋_GB2312" w:cs="Times New Roman"/>
          <w:bCs/>
          <w:snapToGrid w:val="0"/>
          <w:kern w:val="32"/>
          <w:sz w:val="32"/>
          <w:szCs w:val="32"/>
        </w:rPr>
        <w:t>固定推送及时率之和/考核天数。</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每日状态固定推送及时率=站内关键信息的“3小时固 定推送状态次数”总和/8。其中，其中，“3小时固定推送状态次数”取值方法为，每3小时内，企业平台将状态信息向市级平台推送的次数≥1，则取1；否则，取0。</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充电站的状态信息包括站内所有充电接口的空闲、掉线、故障等信息；换电站的状态信息包括站内电池总数量、可换电池数量、故障电池数量、电池荷电状态（SOC）、充电设备状态、排队车辆数量等关键信息。</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该项得分=分值×</w:t>
      </w:r>
      <w:r>
        <w:rPr>
          <w:rFonts w:ascii="仿宋_GB2312" w:hAnsi="宋体" w:eastAsia="仿宋_GB2312" w:cs="Times New Roman"/>
          <w:bCs/>
          <w:snapToGrid w:val="0"/>
          <w:kern w:val="32"/>
          <w:sz w:val="32"/>
          <w:szCs w:val="32"/>
        </w:rPr>
        <w:t>状态</w:t>
      </w:r>
      <w:r>
        <w:rPr>
          <w:rFonts w:hint="eastAsia" w:ascii="仿宋_GB2312" w:hAnsi="宋体" w:eastAsia="仿宋_GB2312" w:cs="Times New Roman"/>
          <w:bCs/>
          <w:snapToGrid w:val="0"/>
          <w:kern w:val="32"/>
          <w:sz w:val="32"/>
          <w:szCs w:val="32"/>
        </w:rPr>
        <w:t>固定推送及时率。</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十三、状态变化推送及时率</w:t>
      </w:r>
    </w:p>
    <w:p>
      <w:pPr>
        <w:spacing w:line="560" w:lineRule="exact"/>
        <w:ind w:firstLine="640" w:firstLineChars="200"/>
        <w:rPr>
          <w:rFonts w:ascii="仿宋_GB2312" w:hAnsi="宋体" w:eastAsia="仿宋_GB2312" w:cs="Times New Roman"/>
          <w:bCs/>
          <w:snapToGrid w:val="0"/>
          <w:kern w:val="32"/>
          <w:sz w:val="32"/>
          <w:szCs w:val="32"/>
          <w:highlight w:val="yellow"/>
        </w:rPr>
      </w:pPr>
      <w:r>
        <w:rPr>
          <w:rFonts w:hint="eastAsia" w:ascii="楷体_GB2312" w:hAnsi="楷体_GB2312" w:eastAsia="楷体_GB2312" w:cs="楷体_GB2312"/>
          <w:bCs/>
          <w:snapToGrid w:val="0"/>
          <w:kern w:val="32"/>
          <w:sz w:val="32"/>
          <w:szCs w:val="32"/>
        </w:rPr>
        <w:t>（一）指标解释：</w:t>
      </w:r>
      <w:r>
        <w:rPr>
          <w:rFonts w:hint="eastAsia" w:ascii="仿宋_GB2312" w:hAnsi="宋体" w:eastAsia="仿宋_GB2312" w:cs="Times New Roman"/>
          <w:bCs/>
          <w:snapToGrid w:val="0"/>
          <w:kern w:val="32"/>
          <w:sz w:val="32"/>
          <w:szCs w:val="32"/>
        </w:rPr>
        <w:t>以充电站为考核对象，重点考核充电设施处于充电</w:t>
      </w:r>
      <w:r>
        <w:rPr>
          <w:rFonts w:ascii="仿宋_GB2312" w:hAnsi="宋体" w:eastAsia="仿宋_GB2312" w:cs="Times New Roman"/>
          <w:bCs/>
          <w:snapToGrid w:val="0"/>
          <w:kern w:val="32"/>
          <w:sz w:val="32"/>
          <w:szCs w:val="32"/>
        </w:rPr>
        <w:t>（忙）</w:t>
      </w:r>
      <w:r>
        <w:rPr>
          <w:rFonts w:hint="eastAsia" w:ascii="仿宋_GB2312" w:hAnsi="宋体" w:eastAsia="仿宋_GB2312" w:cs="Times New Roman"/>
          <w:bCs/>
          <w:snapToGrid w:val="0"/>
          <w:kern w:val="32"/>
          <w:sz w:val="32"/>
          <w:szCs w:val="32"/>
        </w:rPr>
        <w:t>或空闲</w:t>
      </w:r>
      <w:r>
        <w:rPr>
          <w:rFonts w:ascii="仿宋_GB2312" w:hAnsi="宋体" w:eastAsia="仿宋_GB2312" w:cs="Times New Roman"/>
          <w:bCs/>
          <w:snapToGrid w:val="0"/>
          <w:kern w:val="32"/>
          <w:sz w:val="32"/>
          <w:szCs w:val="32"/>
        </w:rPr>
        <w:t>（闲）两种状态</w:t>
      </w:r>
      <w:r>
        <w:rPr>
          <w:rFonts w:hint="eastAsia" w:ascii="仿宋_GB2312" w:hAnsi="宋体" w:eastAsia="仿宋_GB2312" w:cs="Times New Roman"/>
          <w:bCs/>
          <w:snapToGrid w:val="0"/>
          <w:kern w:val="32"/>
          <w:sz w:val="32"/>
          <w:szCs w:val="32"/>
        </w:rPr>
        <w:t>的</w:t>
      </w:r>
      <w:r>
        <w:rPr>
          <w:rFonts w:ascii="仿宋_GB2312" w:hAnsi="宋体" w:eastAsia="仿宋_GB2312" w:cs="Times New Roman"/>
          <w:bCs/>
          <w:snapToGrid w:val="0"/>
          <w:kern w:val="32"/>
          <w:sz w:val="32"/>
          <w:szCs w:val="32"/>
        </w:rPr>
        <w:t>信息推送及时性</w:t>
      </w:r>
      <w:r>
        <w:rPr>
          <w:rFonts w:hint="eastAsia" w:ascii="仿宋_GB2312" w:hAnsi="宋体" w:eastAsia="仿宋_GB2312" w:cs="Times New Roman"/>
          <w:bCs/>
          <w:snapToGrid w:val="0"/>
          <w:kern w:val="32"/>
          <w:sz w:val="32"/>
          <w:szCs w:val="32"/>
        </w:rPr>
        <w:t>。</w:t>
      </w:r>
      <w:r>
        <w:rPr>
          <w:rFonts w:ascii="仿宋_GB2312" w:hAnsi="宋体" w:eastAsia="仿宋_GB2312" w:cs="Times New Roman"/>
          <w:bCs/>
          <w:snapToGrid w:val="0"/>
          <w:kern w:val="32"/>
          <w:sz w:val="32"/>
          <w:szCs w:val="32"/>
        </w:rPr>
        <w:t>状态</w:t>
      </w:r>
      <w:r>
        <w:rPr>
          <w:rFonts w:hint="eastAsia" w:ascii="仿宋_GB2312" w:hAnsi="宋体" w:eastAsia="仿宋_GB2312" w:cs="Times New Roman"/>
          <w:bCs/>
          <w:snapToGrid w:val="0"/>
          <w:kern w:val="32"/>
          <w:sz w:val="32"/>
          <w:szCs w:val="32"/>
        </w:rPr>
        <w:t>变化推送及时率=一定时期内，通过初筛且设施状态信息推送及时的充电订单数量/通过初筛的充电订单数量。</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仿宋_GB2312" w:hAnsi="宋体" w:eastAsia="仿宋_GB2312" w:cs="Times New Roman"/>
          <w:bCs/>
          <w:snapToGrid w:val="0"/>
          <w:kern w:val="32"/>
          <w:sz w:val="32"/>
          <w:szCs w:val="32"/>
        </w:rPr>
        <w:t>设施状态信息推送及时的充电订单是指充电订单中的充电开始时间、充电结束时间对应的设施状态变化与对应时刻前后5分钟之内推送至市级平台的充电设施状态信息一致。</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该项得分=分值×</w:t>
      </w:r>
      <w:r>
        <w:rPr>
          <w:rFonts w:ascii="仿宋_GB2312" w:hAnsi="宋体" w:eastAsia="仿宋_GB2312" w:cs="Times New Roman"/>
          <w:bCs/>
          <w:snapToGrid w:val="0"/>
          <w:kern w:val="32"/>
          <w:sz w:val="32"/>
          <w:szCs w:val="32"/>
        </w:rPr>
        <w:t>状态</w:t>
      </w:r>
      <w:r>
        <w:rPr>
          <w:rFonts w:hint="eastAsia" w:ascii="仿宋_GB2312" w:hAnsi="宋体" w:eastAsia="仿宋_GB2312" w:cs="Times New Roman"/>
          <w:bCs/>
          <w:snapToGrid w:val="0"/>
          <w:kern w:val="32"/>
          <w:sz w:val="32"/>
          <w:szCs w:val="32"/>
        </w:rPr>
        <w:t>变化推送及时率，得分按四舍五入保留四位小数。</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十四、谷电利用率</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宋体" w:eastAsia="仿宋_GB2312" w:cs="Times New Roman"/>
          <w:bCs/>
          <w:snapToGrid w:val="0"/>
          <w:kern w:val="32"/>
          <w:sz w:val="32"/>
          <w:szCs w:val="32"/>
        </w:rPr>
        <w:t>以换电站为考核对象，谷电利用率=谷时段充电量/电池总充电量。</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将换电站谷电利用率由大到小排名，该项得分=分值×（总站数-排名+1）/总站数，得分按四舍五入保留四位小数。</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lang w:eastAsia="zh-Hans"/>
        </w:rPr>
        <w:t>十</w:t>
      </w:r>
      <w:r>
        <w:rPr>
          <w:rFonts w:hint="eastAsia" w:ascii="黑体" w:hAnsi="黑体" w:eastAsia="黑体" w:cs="黑体"/>
          <w:bCs/>
          <w:snapToGrid w:val="0"/>
          <w:kern w:val="32"/>
          <w:sz w:val="32"/>
          <w:szCs w:val="32"/>
        </w:rPr>
        <w:t>五</w:t>
      </w:r>
      <w:r>
        <w:rPr>
          <w:rFonts w:ascii="黑体" w:hAnsi="黑体" w:eastAsia="黑体" w:cs="黑体"/>
          <w:bCs/>
          <w:snapToGrid w:val="0"/>
          <w:kern w:val="32"/>
          <w:sz w:val="32"/>
          <w:szCs w:val="32"/>
          <w:lang w:eastAsia="zh-Hans"/>
        </w:rPr>
        <w:t>、</w:t>
      </w:r>
      <w:r>
        <w:rPr>
          <w:rFonts w:hint="eastAsia" w:ascii="黑体" w:hAnsi="黑体" w:eastAsia="黑体" w:cs="黑体"/>
          <w:bCs/>
          <w:snapToGrid w:val="0"/>
          <w:kern w:val="32"/>
          <w:sz w:val="32"/>
          <w:szCs w:val="32"/>
          <w:lang w:eastAsia="zh-Hans"/>
        </w:rPr>
        <w:t>快充</w:t>
      </w:r>
      <w:r>
        <w:rPr>
          <w:rFonts w:hint="eastAsia" w:ascii="黑体" w:hAnsi="黑体" w:eastAsia="黑体" w:cs="黑体"/>
          <w:bCs/>
          <w:snapToGrid w:val="0"/>
          <w:kern w:val="32"/>
          <w:sz w:val="32"/>
          <w:szCs w:val="32"/>
        </w:rPr>
        <w:t>枪</w:t>
      </w:r>
      <w:r>
        <w:rPr>
          <w:rFonts w:hint="eastAsia" w:ascii="黑体" w:hAnsi="黑体" w:eastAsia="黑体" w:cs="黑体"/>
          <w:bCs/>
          <w:snapToGrid w:val="0"/>
          <w:kern w:val="32"/>
          <w:sz w:val="32"/>
          <w:szCs w:val="32"/>
          <w:lang w:eastAsia="zh-Hans"/>
        </w:rPr>
        <w:t>占比</w:t>
      </w:r>
    </w:p>
    <w:p>
      <w:pPr>
        <w:pStyle w:val="2"/>
        <w:spacing w:line="560" w:lineRule="exact"/>
        <w:ind w:firstLine="640" w:firstLineChars="200"/>
        <w:jc w:val="both"/>
        <w:rPr>
          <w:rFonts w:ascii="楷体_GB2312" w:hAnsi="楷体_GB2312" w:eastAsia="仿宋_GB2312" w:cs="楷体_GB2312"/>
          <w:b w:val="0"/>
          <w:bCs w:val="0"/>
          <w:snapToGrid w:val="0"/>
          <w:kern w:val="32"/>
          <w:sz w:val="32"/>
          <w:szCs w:val="32"/>
        </w:rPr>
      </w:pPr>
      <w:r>
        <w:rPr>
          <w:rFonts w:hint="eastAsia" w:ascii="楷体_GB2312" w:hAnsi="楷体_GB2312" w:eastAsia="楷体_GB2312" w:cs="楷体_GB2312"/>
          <w:b w:val="0"/>
          <w:bCs w:val="0"/>
          <w:snapToGrid w:val="0"/>
          <w:kern w:val="32"/>
          <w:sz w:val="32"/>
          <w:szCs w:val="32"/>
        </w:rPr>
        <w:t>（一）指标解释：</w:t>
      </w:r>
      <w:r>
        <w:rPr>
          <w:rFonts w:hint="eastAsia" w:ascii="仿宋_GB2312" w:hAnsi="宋体" w:eastAsia="仿宋_GB2312" w:cs="Times New Roman"/>
          <w:b w:val="0"/>
          <w:snapToGrid w:val="0"/>
          <w:kern w:val="32"/>
          <w:sz w:val="32"/>
          <w:szCs w:val="32"/>
        </w:rPr>
        <w:t>以充电站为考核对象，</w:t>
      </w:r>
      <w:r>
        <w:rPr>
          <w:rFonts w:hint="eastAsia" w:ascii="仿宋_GB2312" w:hAnsi="宋体" w:eastAsia="仿宋_GB2312" w:cs="Times New Roman"/>
          <w:b w:val="0"/>
          <w:snapToGrid w:val="0"/>
          <w:kern w:val="32"/>
          <w:sz w:val="32"/>
          <w:szCs w:val="32"/>
          <w:lang w:eastAsia="zh-Hans"/>
        </w:rPr>
        <w:t>快充</w:t>
      </w:r>
      <w:r>
        <w:rPr>
          <w:rFonts w:hint="eastAsia" w:ascii="仿宋_GB2312" w:hAnsi="宋体" w:eastAsia="仿宋_GB2312" w:cs="Times New Roman"/>
          <w:b w:val="0"/>
          <w:snapToGrid w:val="0"/>
          <w:kern w:val="32"/>
          <w:sz w:val="32"/>
          <w:szCs w:val="32"/>
        </w:rPr>
        <w:t>枪</w:t>
      </w:r>
      <w:r>
        <w:rPr>
          <w:rFonts w:hint="eastAsia" w:ascii="仿宋_GB2312" w:hAnsi="宋体" w:eastAsia="仿宋_GB2312" w:cs="Times New Roman"/>
          <w:b w:val="0"/>
          <w:snapToGrid w:val="0"/>
          <w:kern w:val="32"/>
          <w:sz w:val="32"/>
          <w:szCs w:val="32"/>
          <w:lang w:eastAsia="zh-Hans"/>
        </w:rPr>
        <w:t>占比</w:t>
      </w:r>
      <w:r>
        <w:rPr>
          <w:rFonts w:ascii="仿宋_GB2312" w:hAnsi="宋体" w:eastAsia="仿宋_GB2312" w:cs="Times New Roman"/>
          <w:b w:val="0"/>
          <w:snapToGrid w:val="0"/>
          <w:kern w:val="32"/>
          <w:sz w:val="32"/>
          <w:szCs w:val="32"/>
          <w:lang w:eastAsia="zh-Hans"/>
        </w:rPr>
        <w:t>=</w:t>
      </w:r>
      <w:r>
        <w:rPr>
          <w:rFonts w:hint="eastAsia" w:ascii="仿宋_GB2312" w:hAnsi="宋体" w:eastAsia="仿宋_GB2312" w:cs="Times New Roman"/>
          <w:b w:val="0"/>
          <w:snapToGrid w:val="0"/>
          <w:kern w:val="32"/>
          <w:sz w:val="32"/>
          <w:szCs w:val="32"/>
          <w:lang w:eastAsia="zh-Hans"/>
        </w:rPr>
        <w:t>快充</w:t>
      </w:r>
      <w:r>
        <w:rPr>
          <w:rFonts w:hint="eastAsia" w:ascii="仿宋_GB2312" w:hAnsi="宋体" w:eastAsia="仿宋_GB2312" w:cs="Times New Roman"/>
          <w:b w:val="0"/>
          <w:snapToGrid w:val="0"/>
          <w:kern w:val="32"/>
          <w:sz w:val="32"/>
          <w:szCs w:val="32"/>
        </w:rPr>
        <w:t>枪</w:t>
      </w:r>
      <w:r>
        <w:rPr>
          <w:rFonts w:hint="eastAsia" w:ascii="仿宋_GB2312" w:hAnsi="宋体" w:eastAsia="仿宋_GB2312" w:cs="Times New Roman"/>
          <w:b w:val="0"/>
          <w:snapToGrid w:val="0"/>
          <w:kern w:val="32"/>
          <w:sz w:val="32"/>
          <w:szCs w:val="32"/>
          <w:lang w:eastAsia="zh-Hans"/>
        </w:rPr>
        <w:t>数</w:t>
      </w:r>
      <w:r>
        <w:rPr>
          <w:rFonts w:ascii="仿宋_GB2312" w:hAnsi="宋体" w:eastAsia="仿宋_GB2312" w:cs="Times New Roman"/>
          <w:b w:val="0"/>
          <w:snapToGrid w:val="0"/>
          <w:kern w:val="32"/>
          <w:sz w:val="32"/>
          <w:szCs w:val="32"/>
          <w:lang w:eastAsia="zh-Hans"/>
        </w:rPr>
        <w:t>/</w:t>
      </w:r>
      <w:r>
        <w:rPr>
          <w:rFonts w:hint="eastAsia" w:ascii="仿宋_GB2312" w:hAnsi="宋体" w:eastAsia="仿宋_GB2312" w:cs="Times New Roman"/>
          <w:b w:val="0"/>
          <w:snapToGrid w:val="0"/>
          <w:kern w:val="32"/>
          <w:sz w:val="32"/>
          <w:szCs w:val="32"/>
          <w:lang w:eastAsia="zh-Hans"/>
        </w:rPr>
        <w:t>站总</w:t>
      </w:r>
      <w:r>
        <w:rPr>
          <w:rFonts w:hint="eastAsia" w:ascii="仿宋_GB2312" w:hAnsi="宋体" w:eastAsia="仿宋_GB2312" w:cs="Times New Roman"/>
          <w:b w:val="0"/>
          <w:snapToGrid w:val="0"/>
          <w:kern w:val="32"/>
          <w:sz w:val="32"/>
          <w:szCs w:val="32"/>
        </w:rPr>
        <w:t>枪</w:t>
      </w:r>
      <w:r>
        <w:rPr>
          <w:rFonts w:hint="eastAsia" w:ascii="仿宋_GB2312" w:hAnsi="宋体" w:eastAsia="仿宋_GB2312" w:cs="Times New Roman"/>
          <w:b w:val="0"/>
          <w:snapToGrid w:val="0"/>
          <w:kern w:val="32"/>
          <w:sz w:val="32"/>
          <w:szCs w:val="32"/>
          <w:lang w:eastAsia="zh-Hans"/>
        </w:rPr>
        <w:t>数</w:t>
      </w:r>
      <w:r>
        <w:rPr>
          <w:rFonts w:hint="eastAsia" w:ascii="仿宋_GB2312" w:hAnsi="宋体" w:eastAsia="仿宋_GB2312" w:cs="Times New Roman"/>
          <w:b w:val="0"/>
          <w:snapToGrid w:val="0"/>
          <w:kern w:val="32"/>
          <w:sz w:val="32"/>
          <w:szCs w:val="32"/>
        </w:rPr>
        <w:t>，其中快充枪指功率</w:t>
      </w:r>
      <w:r>
        <w:rPr>
          <w:rFonts w:hint="eastAsia" w:ascii="仿宋_GB2312" w:hAnsi="宋体" w:eastAsia="仿宋_GB2312" w:cs="Times New Roman"/>
          <w:b w:val="0"/>
          <w:snapToGrid w:val="0"/>
          <w:kern w:val="32"/>
          <w:sz w:val="32"/>
          <w:szCs w:val="32"/>
          <w:u w:val="single"/>
        </w:rPr>
        <w:t>不小于</w:t>
      </w:r>
      <w:r>
        <w:rPr>
          <w:rFonts w:hint="eastAsia" w:ascii="仿宋_GB2312" w:hAnsi="宋体" w:eastAsia="仿宋_GB2312" w:cs="Times New Roman"/>
          <w:b w:val="0"/>
          <w:snapToGrid w:val="0"/>
          <w:kern w:val="32"/>
          <w:sz w:val="32"/>
          <w:szCs w:val="32"/>
          <w:u w:val="single"/>
          <w:lang w:val="en-US" w:eastAsia="zh-CN"/>
        </w:rPr>
        <w:t>60</w:t>
      </w:r>
      <w:r>
        <w:rPr>
          <w:rFonts w:hint="eastAsia" w:ascii="仿宋_GB2312" w:hAnsi="宋体" w:eastAsia="仿宋_GB2312" w:cs="Times New Roman"/>
          <w:b w:val="0"/>
          <w:snapToGrid w:val="0"/>
          <w:kern w:val="32"/>
          <w:sz w:val="32"/>
          <w:szCs w:val="32"/>
          <w:u w:val="single"/>
        </w:rPr>
        <w:t>千瓦</w:t>
      </w:r>
      <w:r>
        <w:rPr>
          <w:rFonts w:hint="eastAsia" w:ascii="仿宋_GB2312" w:hAnsi="宋体" w:eastAsia="仿宋_GB2312" w:cs="Times New Roman"/>
          <w:b w:val="0"/>
          <w:snapToGrid w:val="0"/>
          <w:kern w:val="32"/>
          <w:sz w:val="32"/>
          <w:szCs w:val="32"/>
        </w:rPr>
        <w:t>的充电枪。</w:t>
      </w:r>
    </w:p>
    <w:p>
      <w:pPr>
        <w:spacing w:line="560" w:lineRule="exact"/>
        <w:ind w:firstLine="640" w:firstLineChars="200"/>
        <w:rPr>
          <w:rFonts w:ascii="仿宋_GB2312" w:hAnsi="宋体" w:eastAsia="仿宋_GB2312" w:cs="Times New Roman"/>
          <w:bCs/>
          <w:snapToGrid w:val="0"/>
          <w:kern w:val="32"/>
          <w:sz w:val="32"/>
          <w:szCs w:val="32"/>
          <w:lang w:eastAsia="zh-Hans"/>
        </w:rPr>
      </w:pPr>
      <w:r>
        <w:rPr>
          <w:rFonts w:hint="eastAsia" w:ascii="楷体_GB2312" w:hAnsi="楷体_GB2312" w:eastAsia="楷体_GB2312" w:cs="楷体_GB2312"/>
          <w:snapToGrid w:val="0"/>
          <w:kern w:val="32"/>
          <w:sz w:val="32"/>
          <w:szCs w:val="32"/>
        </w:rPr>
        <w:t>（二）计分方法：</w:t>
      </w:r>
      <w:r>
        <w:rPr>
          <w:rFonts w:hint="eastAsia" w:ascii="仿宋_GB2312" w:hAnsi="宋体" w:eastAsia="仿宋_GB2312" w:cs="Times New Roman"/>
          <w:bCs/>
          <w:snapToGrid w:val="0"/>
          <w:kern w:val="32"/>
          <w:sz w:val="32"/>
          <w:szCs w:val="32"/>
          <w:lang w:eastAsia="zh-Hans"/>
        </w:rPr>
        <w:t>该项得分</w:t>
      </w:r>
      <w:r>
        <w:rPr>
          <w:rFonts w:ascii="仿宋_GB2312" w:hAnsi="宋体" w:eastAsia="仿宋_GB2312" w:cs="Times New Roman"/>
          <w:bCs/>
          <w:snapToGrid w:val="0"/>
          <w:kern w:val="32"/>
          <w:sz w:val="32"/>
          <w:szCs w:val="32"/>
          <w:lang w:eastAsia="zh-Hans"/>
        </w:rPr>
        <w:t>=</w:t>
      </w:r>
      <w:r>
        <w:rPr>
          <w:rFonts w:hint="eastAsia" w:ascii="仿宋_GB2312" w:hAnsi="宋体" w:eastAsia="仿宋_GB2312" w:cs="Times New Roman"/>
          <w:bCs/>
          <w:snapToGrid w:val="0"/>
          <w:kern w:val="32"/>
          <w:sz w:val="32"/>
          <w:szCs w:val="32"/>
        </w:rPr>
        <w:t>分值</w:t>
      </w:r>
      <w:r>
        <w:rPr>
          <w:rFonts w:ascii="仿宋_GB2312" w:hAnsi="宋体" w:eastAsia="仿宋_GB2312" w:cs="Times New Roman"/>
          <w:bCs/>
          <w:snapToGrid w:val="0"/>
          <w:kern w:val="32"/>
          <w:sz w:val="32"/>
          <w:szCs w:val="32"/>
          <w:lang w:eastAsia="zh-Hans"/>
        </w:rPr>
        <w:t>*</w:t>
      </w:r>
      <w:r>
        <w:rPr>
          <w:rFonts w:hint="eastAsia" w:ascii="仿宋_GB2312" w:hAnsi="宋体" w:eastAsia="仿宋_GB2312" w:cs="Times New Roman"/>
          <w:bCs/>
          <w:snapToGrid w:val="0"/>
          <w:kern w:val="32"/>
          <w:sz w:val="32"/>
          <w:szCs w:val="32"/>
          <w:lang w:eastAsia="zh-Hans"/>
        </w:rPr>
        <w:t>快充</w:t>
      </w:r>
      <w:r>
        <w:rPr>
          <w:rFonts w:hint="eastAsia" w:ascii="仿宋_GB2312" w:hAnsi="宋体" w:eastAsia="仿宋_GB2312" w:cs="Times New Roman"/>
          <w:bCs/>
          <w:snapToGrid w:val="0"/>
          <w:kern w:val="32"/>
          <w:sz w:val="32"/>
          <w:szCs w:val="32"/>
        </w:rPr>
        <w:t>枪</w:t>
      </w:r>
      <w:r>
        <w:rPr>
          <w:rFonts w:hint="eastAsia" w:ascii="仿宋_GB2312" w:hAnsi="宋体" w:eastAsia="仿宋_GB2312" w:cs="Times New Roman"/>
          <w:bCs/>
          <w:snapToGrid w:val="0"/>
          <w:kern w:val="32"/>
          <w:sz w:val="32"/>
          <w:szCs w:val="32"/>
          <w:lang w:eastAsia="zh-Hans"/>
        </w:rPr>
        <w:t>占比</w:t>
      </w:r>
      <w:r>
        <w:rPr>
          <w:rFonts w:ascii="仿宋_GB2312" w:hAnsi="宋体" w:eastAsia="仿宋_GB2312" w:cs="Times New Roman"/>
          <w:bCs/>
          <w:snapToGrid w:val="0"/>
          <w:kern w:val="32"/>
          <w:sz w:val="32"/>
          <w:szCs w:val="32"/>
          <w:lang w:eastAsia="zh-Hans"/>
        </w:rPr>
        <w:t>，</w:t>
      </w:r>
      <w:r>
        <w:rPr>
          <w:rFonts w:hint="eastAsia" w:ascii="仿宋_GB2312" w:hAnsi="宋体" w:eastAsia="仿宋_GB2312" w:cs="Times New Roman"/>
          <w:bCs/>
          <w:snapToGrid w:val="0"/>
          <w:kern w:val="32"/>
          <w:sz w:val="32"/>
          <w:szCs w:val="32"/>
          <w:lang w:eastAsia="zh-Hans"/>
        </w:rPr>
        <w:t>得分按四舍五入保留四位小数</w:t>
      </w:r>
      <w:r>
        <w:rPr>
          <w:rFonts w:ascii="仿宋_GB2312" w:hAnsi="宋体" w:eastAsia="仿宋_GB2312" w:cs="Times New Roman"/>
          <w:bCs/>
          <w:snapToGrid w:val="0"/>
          <w:kern w:val="32"/>
          <w:sz w:val="32"/>
          <w:szCs w:val="32"/>
          <w:lang w:eastAsia="zh-Hans"/>
        </w:rPr>
        <w:t>。</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lang w:eastAsia="zh-Hans"/>
        </w:rPr>
        <w:t>十</w:t>
      </w:r>
      <w:r>
        <w:rPr>
          <w:rFonts w:hint="eastAsia" w:ascii="黑体" w:hAnsi="黑体" w:eastAsia="黑体" w:cs="黑体"/>
          <w:bCs/>
          <w:snapToGrid w:val="0"/>
          <w:kern w:val="32"/>
          <w:sz w:val="32"/>
          <w:szCs w:val="32"/>
        </w:rPr>
        <w:t>六</w:t>
      </w:r>
      <w:r>
        <w:rPr>
          <w:rFonts w:ascii="黑体" w:hAnsi="黑体" w:eastAsia="黑体" w:cs="黑体"/>
          <w:bCs/>
          <w:snapToGrid w:val="0"/>
          <w:kern w:val="32"/>
          <w:sz w:val="32"/>
          <w:szCs w:val="32"/>
          <w:lang w:eastAsia="zh-Hans"/>
        </w:rPr>
        <w:t>、配套设施建设</w:t>
      </w:r>
    </w:p>
    <w:p>
      <w:pPr>
        <w:pStyle w:val="2"/>
        <w:spacing w:line="560" w:lineRule="exact"/>
        <w:ind w:firstLine="640" w:firstLineChars="200"/>
        <w:jc w:val="both"/>
        <w:rPr>
          <w:rFonts w:ascii="楷体_GB2312" w:hAnsi="楷体_GB2312" w:eastAsia="楷体_GB2312" w:cs="楷体_GB2312"/>
          <w:b w:val="0"/>
          <w:bCs w:val="0"/>
          <w:snapToGrid w:val="0"/>
          <w:kern w:val="32"/>
          <w:sz w:val="32"/>
          <w:szCs w:val="32"/>
        </w:rPr>
      </w:pPr>
      <w:r>
        <w:rPr>
          <w:rFonts w:hint="eastAsia" w:ascii="楷体_GB2312" w:hAnsi="楷体_GB2312" w:eastAsia="楷体_GB2312" w:cs="楷体_GB2312"/>
          <w:b w:val="0"/>
          <w:bCs w:val="0"/>
          <w:snapToGrid w:val="0"/>
          <w:kern w:val="32"/>
          <w:sz w:val="32"/>
          <w:szCs w:val="32"/>
        </w:rPr>
        <w:t>（一）指标解释：</w:t>
      </w:r>
      <w:r>
        <w:rPr>
          <w:rFonts w:hint="eastAsia" w:ascii="仿宋_GB2312" w:hAnsi="宋体" w:eastAsia="仿宋_GB2312" w:cs="Times New Roman"/>
          <w:b w:val="0"/>
          <w:bCs w:val="0"/>
          <w:snapToGrid w:val="0"/>
          <w:kern w:val="32"/>
          <w:sz w:val="32"/>
          <w:szCs w:val="32"/>
        </w:rPr>
        <w:t>该指标为附加项。</w:t>
      </w:r>
      <w:r>
        <w:rPr>
          <w:rFonts w:hint="eastAsia" w:ascii="仿宋_GB2312" w:hAnsi="宋体" w:eastAsia="仿宋_GB2312" w:cs="Times New Roman"/>
          <w:b w:val="0"/>
          <w:bCs w:val="0"/>
          <w:snapToGrid w:val="0"/>
          <w:kern w:val="32"/>
          <w:sz w:val="32"/>
          <w:szCs w:val="32"/>
          <w:lang w:eastAsia="zh-Hans"/>
        </w:rPr>
        <w:t>以充换电站为考核对象</w:t>
      </w:r>
      <w:r>
        <w:rPr>
          <w:rFonts w:hint="eastAsia" w:ascii="仿宋_GB2312" w:hAnsi="宋体" w:eastAsia="仿宋_GB2312" w:cs="Times New Roman"/>
          <w:b w:val="0"/>
          <w:bCs w:val="0"/>
          <w:snapToGrid w:val="0"/>
          <w:kern w:val="32"/>
          <w:sz w:val="32"/>
          <w:szCs w:val="32"/>
        </w:rPr>
        <w:t>，</w:t>
      </w:r>
      <w:r>
        <w:rPr>
          <w:rFonts w:hint="eastAsia" w:ascii="仿宋_GB2312" w:hAnsi="宋体" w:eastAsia="仿宋_GB2312" w:cs="Times New Roman"/>
          <w:b w:val="0"/>
          <w:bCs w:val="0"/>
          <w:snapToGrid w:val="0"/>
          <w:kern w:val="32"/>
          <w:sz w:val="32"/>
          <w:szCs w:val="32"/>
          <w:lang w:eastAsia="zh-Hans"/>
        </w:rPr>
        <w:t>重点评价餐饮</w:t>
      </w:r>
      <w:r>
        <w:rPr>
          <w:rFonts w:ascii="仿宋_GB2312" w:hAnsi="宋体" w:eastAsia="仿宋_GB2312" w:cs="Times New Roman"/>
          <w:b w:val="0"/>
          <w:bCs w:val="0"/>
          <w:snapToGrid w:val="0"/>
          <w:kern w:val="32"/>
          <w:sz w:val="32"/>
          <w:szCs w:val="32"/>
          <w:lang w:eastAsia="zh-Hans"/>
        </w:rPr>
        <w:t>、</w:t>
      </w:r>
      <w:r>
        <w:rPr>
          <w:rFonts w:hint="eastAsia" w:ascii="仿宋_GB2312" w:hAnsi="宋体" w:eastAsia="仿宋_GB2312" w:cs="Times New Roman"/>
          <w:b w:val="0"/>
          <w:bCs w:val="0"/>
          <w:snapToGrid w:val="0"/>
          <w:kern w:val="32"/>
          <w:sz w:val="32"/>
          <w:szCs w:val="32"/>
          <w:lang w:eastAsia="zh-Hans"/>
        </w:rPr>
        <w:t>雨棚</w:t>
      </w:r>
      <w:r>
        <w:rPr>
          <w:rFonts w:ascii="仿宋_GB2312" w:hAnsi="宋体" w:eastAsia="仿宋_GB2312" w:cs="Times New Roman"/>
          <w:b w:val="0"/>
          <w:bCs w:val="0"/>
          <w:snapToGrid w:val="0"/>
          <w:kern w:val="32"/>
          <w:sz w:val="32"/>
          <w:szCs w:val="32"/>
          <w:lang w:eastAsia="zh-Hans"/>
        </w:rPr>
        <w:t>、</w:t>
      </w:r>
      <w:r>
        <w:rPr>
          <w:rFonts w:hint="eastAsia" w:ascii="仿宋_GB2312" w:hAnsi="宋体" w:eastAsia="仿宋_GB2312" w:cs="Times New Roman"/>
          <w:b w:val="0"/>
          <w:bCs w:val="0"/>
          <w:snapToGrid w:val="0"/>
          <w:kern w:val="32"/>
          <w:sz w:val="32"/>
          <w:szCs w:val="32"/>
          <w:lang w:eastAsia="zh-Hans"/>
        </w:rPr>
        <w:t>共享充电宝</w:t>
      </w:r>
      <w:r>
        <w:rPr>
          <w:rFonts w:ascii="仿宋_GB2312" w:hAnsi="宋体" w:eastAsia="仿宋_GB2312" w:cs="Times New Roman"/>
          <w:b w:val="0"/>
          <w:bCs w:val="0"/>
          <w:snapToGrid w:val="0"/>
          <w:kern w:val="32"/>
          <w:sz w:val="32"/>
          <w:szCs w:val="32"/>
          <w:lang w:eastAsia="zh-Hans"/>
        </w:rPr>
        <w:t>、</w:t>
      </w:r>
      <w:r>
        <w:rPr>
          <w:rFonts w:hint="eastAsia" w:ascii="仿宋_GB2312" w:hAnsi="宋体" w:eastAsia="仿宋_GB2312" w:cs="Times New Roman"/>
          <w:b w:val="0"/>
          <w:bCs w:val="0"/>
          <w:snapToGrid w:val="0"/>
          <w:kern w:val="32"/>
          <w:sz w:val="32"/>
          <w:szCs w:val="32"/>
          <w:lang w:eastAsia="zh-Hans"/>
        </w:rPr>
        <w:t>便利店</w:t>
      </w:r>
      <w:r>
        <w:rPr>
          <w:rFonts w:ascii="仿宋_GB2312" w:hAnsi="宋体" w:eastAsia="仿宋_GB2312" w:cs="Times New Roman"/>
          <w:b w:val="0"/>
          <w:bCs w:val="0"/>
          <w:snapToGrid w:val="0"/>
          <w:kern w:val="32"/>
          <w:sz w:val="32"/>
          <w:szCs w:val="32"/>
          <w:lang w:eastAsia="zh-Hans"/>
        </w:rPr>
        <w:t>、</w:t>
      </w:r>
      <w:r>
        <w:rPr>
          <w:rFonts w:hint="eastAsia" w:ascii="仿宋_GB2312" w:hAnsi="宋体" w:eastAsia="仿宋_GB2312" w:cs="Times New Roman"/>
          <w:b w:val="0"/>
          <w:bCs w:val="0"/>
          <w:snapToGrid w:val="0"/>
          <w:kern w:val="32"/>
          <w:sz w:val="32"/>
          <w:szCs w:val="32"/>
          <w:lang w:eastAsia="zh-Hans"/>
        </w:rPr>
        <w:t>自动售货机</w:t>
      </w:r>
      <w:r>
        <w:rPr>
          <w:rFonts w:ascii="仿宋_GB2312" w:hAnsi="宋体" w:eastAsia="仿宋_GB2312" w:cs="Times New Roman"/>
          <w:b w:val="0"/>
          <w:bCs w:val="0"/>
          <w:snapToGrid w:val="0"/>
          <w:kern w:val="32"/>
          <w:sz w:val="32"/>
          <w:szCs w:val="32"/>
          <w:lang w:eastAsia="zh-Hans"/>
        </w:rPr>
        <w:t>、</w:t>
      </w:r>
      <w:r>
        <w:rPr>
          <w:rFonts w:hint="eastAsia" w:ascii="仿宋_GB2312" w:hAnsi="宋体" w:eastAsia="仿宋_GB2312" w:cs="Times New Roman"/>
          <w:b w:val="0"/>
          <w:bCs w:val="0"/>
          <w:snapToGrid w:val="0"/>
          <w:kern w:val="32"/>
          <w:sz w:val="32"/>
          <w:szCs w:val="32"/>
          <w:lang w:eastAsia="zh-Hans"/>
        </w:rPr>
        <w:t>饮水机</w:t>
      </w:r>
      <w:r>
        <w:rPr>
          <w:rFonts w:ascii="仿宋_GB2312" w:hAnsi="宋体" w:eastAsia="仿宋_GB2312" w:cs="Times New Roman"/>
          <w:b w:val="0"/>
          <w:bCs w:val="0"/>
          <w:snapToGrid w:val="0"/>
          <w:kern w:val="32"/>
          <w:sz w:val="32"/>
          <w:szCs w:val="32"/>
          <w:lang w:eastAsia="zh-Hans"/>
        </w:rPr>
        <w:t>、</w:t>
      </w:r>
      <w:r>
        <w:rPr>
          <w:rFonts w:hint="eastAsia" w:ascii="仿宋_GB2312" w:hAnsi="宋体" w:eastAsia="仿宋_GB2312" w:cs="Times New Roman"/>
          <w:b w:val="0"/>
          <w:bCs w:val="0"/>
          <w:snapToGrid w:val="0"/>
          <w:kern w:val="32"/>
          <w:sz w:val="32"/>
          <w:szCs w:val="32"/>
          <w:lang w:eastAsia="zh-Hans"/>
        </w:rPr>
        <w:t>洗车</w:t>
      </w:r>
      <w:r>
        <w:rPr>
          <w:rFonts w:ascii="仿宋_GB2312" w:hAnsi="宋体" w:eastAsia="仿宋_GB2312" w:cs="Times New Roman"/>
          <w:b w:val="0"/>
          <w:bCs w:val="0"/>
          <w:snapToGrid w:val="0"/>
          <w:kern w:val="32"/>
          <w:sz w:val="32"/>
          <w:szCs w:val="32"/>
          <w:lang w:eastAsia="zh-Hans"/>
        </w:rPr>
        <w:t>、</w:t>
      </w:r>
      <w:r>
        <w:rPr>
          <w:rFonts w:hint="eastAsia" w:ascii="仿宋_GB2312" w:hAnsi="宋体" w:eastAsia="仿宋_GB2312" w:cs="Times New Roman"/>
          <w:b w:val="0"/>
          <w:bCs w:val="0"/>
          <w:snapToGrid w:val="0"/>
          <w:kern w:val="32"/>
          <w:sz w:val="32"/>
          <w:szCs w:val="32"/>
          <w:lang w:eastAsia="zh-Hans"/>
        </w:rPr>
        <w:t>休息室等配套设施建设</w:t>
      </w:r>
      <w:r>
        <w:rPr>
          <w:rFonts w:hint="eastAsia" w:ascii="仿宋_GB2312" w:hAnsi="宋体" w:eastAsia="仿宋_GB2312" w:cs="Times New Roman"/>
          <w:b w:val="0"/>
          <w:bCs w:val="0"/>
          <w:snapToGrid w:val="0"/>
          <w:kern w:val="32"/>
          <w:sz w:val="32"/>
          <w:szCs w:val="32"/>
        </w:rPr>
        <w:t>服务情况</w:t>
      </w:r>
      <w:r>
        <w:rPr>
          <w:rFonts w:ascii="仿宋_GB2312" w:hAnsi="宋体" w:eastAsia="仿宋_GB2312" w:cs="Times New Roman"/>
          <w:b w:val="0"/>
          <w:bCs w:val="0"/>
          <w:snapToGrid w:val="0"/>
          <w:kern w:val="32"/>
          <w:sz w:val="32"/>
          <w:szCs w:val="32"/>
          <w:lang w:eastAsia="zh-Hans"/>
        </w:rPr>
        <w:t>。</w:t>
      </w:r>
    </w:p>
    <w:p>
      <w:pPr>
        <w:spacing w:line="560" w:lineRule="exact"/>
        <w:ind w:firstLine="640" w:firstLineChars="200"/>
        <w:rPr>
          <w:rFonts w:ascii="仿宋_GB2312" w:hAnsi="宋体" w:eastAsia="仿宋_GB2312" w:cs="Times New Roman"/>
          <w:snapToGrid w:val="0"/>
          <w:kern w:val="32"/>
          <w:sz w:val="32"/>
          <w:szCs w:val="32"/>
          <w:lang w:eastAsia="zh-Hans"/>
        </w:rPr>
      </w:pPr>
      <w:r>
        <w:rPr>
          <w:rFonts w:hint="eastAsia" w:ascii="楷体_GB2312" w:hAnsi="楷体_GB2312" w:eastAsia="楷体_GB2312" w:cs="楷体_GB2312"/>
          <w:snapToGrid w:val="0"/>
          <w:kern w:val="32"/>
          <w:sz w:val="32"/>
          <w:szCs w:val="32"/>
        </w:rPr>
        <w:t>（二）计分方法：</w:t>
      </w:r>
      <w:r>
        <w:rPr>
          <w:rFonts w:hint="eastAsia" w:ascii="仿宋_GB2312" w:hAnsi="宋体" w:eastAsia="仿宋_GB2312" w:cs="Times New Roman"/>
          <w:snapToGrid w:val="0"/>
          <w:kern w:val="32"/>
          <w:sz w:val="32"/>
          <w:szCs w:val="32"/>
          <w:lang w:eastAsia="zh-Hans"/>
        </w:rPr>
        <w:t>申报单位自行申报</w:t>
      </w:r>
      <w:r>
        <w:rPr>
          <w:rFonts w:hint="eastAsia" w:ascii="仿宋_GB2312" w:hAnsi="宋体" w:eastAsia="仿宋_GB2312" w:cs="Times New Roman"/>
          <w:snapToGrid w:val="0"/>
          <w:kern w:val="32"/>
          <w:sz w:val="32"/>
          <w:szCs w:val="32"/>
        </w:rPr>
        <w:t>，</w:t>
      </w:r>
      <w:r>
        <w:rPr>
          <w:rFonts w:hint="eastAsia" w:ascii="仿宋_GB2312" w:hAnsi="宋体" w:eastAsia="仿宋_GB2312" w:cs="Times New Roman"/>
          <w:snapToGrid w:val="0"/>
          <w:kern w:val="32"/>
          <w:sz w:val="32"/>
          <w:szCs w:val="32"/>
          <w:lang w:eastAsia="zh-Hans"/>
        </w:rPr>
        <w:t>项目管理单位核实</w:t>
      </w:r>
      <w:r>
        <w:rPr>
          <w:rFonts w:ascii="仿宋_GB2312" w:hAnsi="宋体" w:eastAsia="仿宋_GB2312" w:cs="Times New Roman"/>
          <w:snapToGrid w:val="0"/>
          <w:kern w:val="32"/>
          <w:sz w:val="32"/>
          <w:szCs w:val="32"/>
          <w:lang w:eastAsia="zh-Hans"/>
        </w:rPr>
        <w:t>，</w:t>
      </w:r>
      <w:r>
        <w:rPr>
          <w:rFonts w:hint="eastAsia" w:ascii="仿宋_GB2312" w:hAnsi="宋体" w:eastAsia="仿宋_GB2312" w:cs="Times New Roman"/>
          <w:snapToGrid w:val="0"/>
          <w:kern w:val="32"/>
          <w:sz w:val="32"/>
          <w:szCs w:val="32"/>
        </w:rPr>
        <w:t>并综合评估</w:t>
      </w:r>
      <w:r>
        <w:rPr>
          <w:rFonts w:hint="eastAsia" w:ascii="仿宋_GB2312" w:hAnsi="宋体" w:eastAsia="仿宋_GB2312" w:cs="Times New Roman"/>
          <w:bCs/>
          <w:snapToGrid w:val="0"/>
          <w:kern w:val="32"/>
          <w:sz w:val="32"/>
          <w:szCs w:val="32"/>
        </w:rPr>
        <w:t>给予1-</w:t>
      </w:r>
      <w:r>
        <w:rPr>
          <w:rFonts w:ascii="仿宋_GB2312" w:hAnsi="宋体" w:eastAsia="仿宋_GB2312" w:cs="Times New Roman"/>
          <w:bCs/>
          <w:snapToGrid w:val="0"/>
          <w:kern w:val="32"/>
          <w:sz w:val="32"/>
          <w:szCs w:val="32"/>
        </w:rPr>
        <w:t>5</w:t>
      </w:r>
      <w:r>
        <w:rPr>
          <w:rFonts w:hint="eastAsia" w:ascii="仿宋_GB2312" w:hAnsi="宋体" w:eastAsia="仿宋_GB2312" w:cs="Times New Roman"/>
          <w:bCs/>
          <w:snapToGrid w:val="0"/>
          <w:kern w:val="32"/>
          <w:sz w:val="32"/>
          <w:szCs w:val="32"/>
        </w:rPr>
        <w:t>分，否则为0分</w:t>
      </w:r>
      <w:r>
        <w:rPr>
          <w:rFonts w:ascii="仿宋_GB2312" w:hAnsi="宋体" w:eastAsia="仿宋_GB2312" w:cs="Times New Roman"/>
          <w:snapToGrid w:val="0"/>
          <w:kern w:val="32"/>
          <w:sz w:val="32"/>
          <w:szCs w:val="32"/>
          <w:lang w:eastAsia="zh-Hans"/>
        </w:rPr>
        <w:t>。</w:t>
      </w:r>
    </w:p>
    <w:p>
      <w:pPr>
        <w:spacing w:line="560" w:lineRule="exact"/>
        <w:ind w:firstLine="640" w:firstLineChars="200"/>
        <w:rPr>
          <w:rFonts w:ascii="黑体" w:hAnsi="黑体" w:eastAsia="黑体" w:cs="黑体"/>
          <w:bCs/>
          <w:snapToGrid w:val="0"/>
          <w:kern w:val="32"/>
          <w:sz w:val="32"/>
          <w:szCs w:val="32"/>
          <w:lang w:eastAsia="zh-Hans"/>
        </w:rPr>
      </w:pPr>
      <w:r>
        <w:rPr>
          <w:rFonts w:hint="eastAsia" w:ascii="黑体" w:hAnsi="黑体" w:eastAsia="黑体" w:cs="黑体"/>
          <w:bCs/>
          <w:snapToGrid w:val="0"/>
          <w:kern w:val="32"/>
          <w:sz w:val="32"/>
          <w:szCs w:val="32"/>
          <w:lang w:eastAsia="zh-Hans"/>
        </w:rPr>
        <w:t>十</w:t>
      </w:r>
      <w:r>
        <w:rPr>
          <w:rFonts w:ascii="黑体" w:hAnsi="黑体" w:eastAsia="黑体" w:cs="黑体"/>
          <w:bCs/>
          <w:snapToGrid w:val="0"/>
          <w:kern w:val="32"/>
          <w:sz w:val="32"/>
          <w:szCs w:val="32"/>
          <w:lang w:eastAsia="zh-Hans"/>
        </w:rPr>
        <w:t>七、重点区域建设保障</w:t>
      </w:r>
    </w:p>
    <w:p>
      <w:pPr>
        <w:ind w:firstLine="612"/>
        <w:rPr>
          <w:rFonts w:ascii="仿宋_GB2312" w:hAnsi="宋体" w:eastAsia="仿宋_GB2312" w:cs="Times New Roman"/>
          <w:snapToGrid w:val="0"/>
          <w:kern w:val="32"/>
          <w:sz w:val="32"/>
          <w:szCs w:val="32"/>
        </w:rPr>
      </w:pPr>
      <w:r>
        <w:rPr>
          <w:rFonts w:hint="eastAsia" w:ascii="楷体_GB2312" w:hAnsi="楷体_GB2312" w:eastAsia="楷体_GB2312" w:cs="楷体_GB2312"/>
          <w:snapToGrid w:val="0"/>
          <w:kern w:val="32"/>
          <w:sz w:val="32"/>
          <w:szCs w:val="32"/>
        </w:rPr>
        <w:t>（1）指标解释</w:t>
      </w:r>
      <w:r>
        <w:rPr>
          <w:rFonts w:hint="eastAsia" w:ascii="仿宋_GB2312" w:hAnsi="宋体" w:eastAsia="仿宋_GB2312" w:cs="Times New Roman"/>
          <w:snapToGrid w:val="0"/>
          <w:kern w:val="32"/>
          <w:sz w:val="32"/>
          <w:szCs w:val="32"/>
        </w:rPr>
        <w:t>：以充电站为考核对象，该指标为附加项指标。重点评价充电设施建设运营企业支撑行业主管部门保障城市运行，对</w:t>
      </w:r>
      <w:r>
        <w:rPr>
          <w:rFonts w:hint="eastAsia" w:ascii="仿宋_GB2312" w:hAnsi="宋体" w:eastAsia="仿宋_GB2312" w:cs="Times New Roman"/>
          <w:snapToGrid w:val="0"/>
          <w:kern w:val="32"/>
          <w:sz w:val="32"/>
          <w:szCs w:val="32"/>
          <w:u w:val="none"/>
        </w:rPr>
        <w:t>在乡村、A级以上景区、高速公路服务区</w:t>
      </w:r>
      <w:r>
        <w:rPr>
          <w:rFonts w:hint="eastAsia" w:ascii="仿宋_GB2312" w:hAnsi="宋体" w:eastAsia="仿宋_GB2312" w:cs="Times New Roman"/>
          <w:snapToGrid w:val="0"/>
          <w:kern w:val="32"/>
          <w:sz w:val="32"/>
          <w:szCs w:val="32"/>
        </w:rPr>
        <w:t>等重点区域建设的充电站情况。</w:t>
      </w:r>
    </w:p>
    <w:p>
      <w:pPr>
        <w:ind w:firstLine="612"/>
        <w:rPr>
          <w:rFonts w:ascii="黑体" w:hAnsi="黑体" w:eastAsia="仿宋_GB2312" w:cs="黑体"/>
          <w:bCs/>
          <w:snapToGrid w:val="0"/>
          <w:kern w:val="32"/>
          <w:sz w:val="32"/>
          <w:szCs w:val="32"/>
          <w:u w:val="single"/>
        </w:rPr>
      </w:pPr>
      <w:r>
        <w:rPr>
          <w:rFonts w:hint="eastAsia" w:ascii="楷体_GB2312" w:hAnsi="楷体_GB2312" w:eastAsia="楷体_GB2312" w:cs="楷体_GB2312"/>
          <w:snapToGrid w:val="0"/>
          <w:kern w:val="32"/>
          <w:sz w:val="32"/>
          <w:szCs w:val="32"/>
        </w:rPr>
        <w:t>（2）计分方法</w:t>
      </w:r>
      <w:r>
        <w:rPr>
          <w:rFonts w:hint="eastAsia" w:ascii="仿宋_GB2312" w:hAnsi="宋体" w:eastAsia="仿宋_GB2312" w:cs="Times New Roman"/>
          <w:snapToGrid w:val="0"/>
          <w:kern w:val="32"/>
          <w:sz w:val="32"/>
          <w:szCs w:val="32"/>
        </w:rPr>
        <w:t>：</w:t>
      </w:r>
      <w:r>
        <w:rPr>
          <w:rFonts w:hint="eastAsia" w:ascii="仿宋_GB2312" w:hAnsi="宋体" w:eastAsia="仿宋_GB2312" w:cs="Times New Roman"/>
          <w:snapToGrid w:val="0"/>
          <w:kern w:val="32"/>
          <w:sz w:val="32"/>
          <w:szCs w:val="32"/>
          <w:lang w:eastAsia="zh-Hans"/>
        </w:rPr>
        <w:t>申报单位自行申报</w:t>
      </w:r>
      <w:r>
        <w:rPr>
          <w:rFonts w:hint="eastAsia" w:ascii="仿宋_GB2312" w:hAnsi="宋体" w:eastAsia="仿宋_GB2312" w:cs="Times New Roman"/>
          <w:snapToGrid w:val="0"/>
          <w:kern w:val="32"/>
          <w:sz w:val="32"/>
          <w:szCs w:val="32"/>
        </w:rPr>
        <w:t>，</w:t>
      </w:r>
      <w:r>
        <w:rPr>
          <w:rFonts w:hint="eastAsia" w:ascii="仿宋_GB2312" w:hAnsi="宋体" w:eastAsia="仿宋_GB2312" w:cs="Times New Roman"/>
          <w:snapToGrid w:val="0"/>
          <w:kern w:val="32"/>
          <w:sz w:val="32"/>
          <w:szCs w:val="32"/>
          <w:u w:val="none"/>
          <w:lang w:eastAsia="zh-Hans"/>
        </w:rPr>
        <w:t>项目管理单位核实</w:t>
      </w:r>
      <w:r>
        <w:rPr>
          <w:rFonts w:ascii="仿宋_GB2312" w:hAnsi="宋体" w:eastAsia="仿宋_GB2312" w:cs="Times New Roman"/>
          <w:snapToGrid w:val="0"/>
          <w:kern w:val="32"/>
          <w:sz w:val="32"/>
          <w:szCs w:val="32"/>
          <w:u w:val="none"/>
          <w:lang w:eastAsia="zh-Hans"/>
        </w:rPr>
        <w:t>，</w:t>
      </w:r>
      <w:r>
        <w:rPr>
          <w:rFonts w:hint="eastAsia" w:ascii="仿宋_GB2312" w:hAnsi="宋体" w:eastAsia="仿宋_GB2312" w:cs="Times New Roman"/>
          <w:snapToGrid w:val="0"/>
          <w:kern w:val="32"/>
          <w:sz w:val="32"/>
          <w:szCs w:val="32"/>
          <w:u w:val="none"/>
        </w:rPr>
        <w:t>并综合评估</w:t>
      </w:r>
      <w:r>
        <w:rPr>
          <w:rFonts w:hint="eastAsia" w:ascii="仿宋_GB2312" w:hAnsi="宋体" w:eastAsia="仿宋_GB2312" w:cs="Times New Roman"/>
          <w:bCs/>
          <w:snapToGrid w:val="0"/>
          <w:kern w:val="32"/>
          <w:sz w:val="32"/>
          <w:szCs w:val="32"/>
          <w:u w:val="none"/>
        </w:rPr>
        <w:t>给予1-</w:t>
      </w:r>
      <w:r>
        <w:rPr>
          <w:rFonts w:ascii="仿宋_GB2312" w:hAnsi="宋体" w:eastAsia="仿宋_GB2312" w:cs="Times New Roman"/>
          <w:bCs/>
          <w:snapToGrid w:val="0"/>
          <w:kern w:val="32"/>
          <w:sz w:val="32"/>
          <w:szCs w:val="32"/>
          <w:u w:val="none"/>
        </w:rPr>
        <w:t>5</w:t>
      </w:r>
      <w:r>
        <w:rPr>
          <w:rFonts w:hint="eastAsia" w:ascii="仿宋_GB2312" w:hAnsi="宋体" w:eastAsia="仿宋_GB2312" w:cs="Times New Roman"/>
          <w:bCs/>
          <w:snapToGrid w:val="0"/>
          <w:kern w:val="32"/>
          <w:sz w:val="32"/>
          <w:szCs w:val="32"/>
          <w:u w:val="none"/>
        </w:rPr>
        <w:t>分，否则为0分</w:t>
      </w:r>
      <w:r>
        <w:rPr>
          <w:rFonts w:hint="eastAsia" w:ascii="仿宋_GB2312" w:hAnsi="宋体" w:eastAsia="仿宋_GB2312" w:cs="Times New Roman"/>
          <w:snapToGrid w:val="0"/>
          <w:kern w:val="32"/>
          <w:sz w:val="32"/>
          <w:szCs w:val="32"/>
        </w:rPr>
        <w:t>。</w:t>
      </w:r>
    </w:p>
    <w:p>
      <w:pPr>
        <w:spacing w:line="560" w:lineRule="exact"/>
        <w:ind w:firstLine="640" w:firstLineChars="200"/>
        <w:rPr>
          <w:rFonts w:ascii="黑体" w:hAnsi="黑体" w:eastAsia="黑体" w:cs="黑体"/>
          <w:bCs/>
          <w:snapToGrid w:val="0"/>
          <w:kern w:val="32"/>
          <w:sz w:val="32"/>
          <w:szCs w:val="32"/>
        </w:rPr>
      </w:pPr>
      <w:r>
        <w:rPr>
          <w:rFonts w:hint="eastAsia" w:ascii="黑体" w:hAnsi="黑体" w:eastAsia="黑体" w:cs="黑体"/>
          <w:bCs/>
          <w:snapToGrid w:val="0"/>
          <w:kern w:val="32"/>
          <w:sz w:val="32"/>
          <w:szCs w:val="32"/>
        </w:rPr>
        <w:t>十八、充电停车管理</w:t>
      </w:r>
    </w:p>
    <w:p>
      <w:pPr>
        <w:spacing w:line="560" w:lineRule="exact"/>
        <w:ind w:firstLine="640" w:firstLineChars="200"/>
        <w:rPr>
          <w:rFonts w:ascii="仿宋_GB2312" w:hAnsi="宋体" w:eastAsia="仿宋_GB2312" w:cs="Times New Roman"/>
          <w:bCs/>
          <w:snapToGrid w:val="0"/>
          <w:kern w:val="32"/>
          <w:sz w:val="32"/>
          <w:szCs w:val="32"/>
        </w:rPr>
      </w:pPr>
      <w:r>
        <w:rPr>
          <w:rFonts w:hint="eastAsia" w:ascii="楷体_GB2312" w:hAnsi="楷体_GB2312" w:eastAsia="楷体_GB2312" w:cs="楷体_GB2312"/>
          <w:bCs/>
          <w:snapToGrid w:val="0"/>
          <w:kern w:val="32"/>
          <w:sz w:val="32"/>
          <w:szCs w:val="32"/>
        </w:rPr>
        <w:t>（一）指标解释：</w:t>
      </w:r>
      <w:r>
        <w:rPr>
          <w:rFonts w:hint="eastAsia" w:ascii="仿宋_GB2312" w:hAnsi="仿宋" w:eastAsia="仿宋_GB2312" w:cs="Times New Roman"/>
          <w:bCs/>
          <w:snapToGrid w:val="0"/>
          <w:kern w:val="32"/>
          <w:sz w:val="32"/>
          <w:szCs w:val="32"/>
        </w:rPr>
        <w:t>以充电站为考核对象</w:t>
      </w:r>
      <w:r>
        <w:rPr>
          <w:rFonts w:hint="eastAsia" w:ascii="仿宋_GB2312" w:hAnsi="宋体" w:eastAsia="仿宋_GB2312" w:cs="Times New Roman"/>
          <w:bCs/>
          <w:snapToGrid w:val="0"/>
          <w:kern w:val="32"/>
          <w:sz w:val="32"/>
          <w:szCs w:val="32"/>
        </w:rPr>
        <w:t>，重点评价申报单位为解决非充电车辆占用充电车位问题所采取的设置电动汽车专用泊位、充电停车一体化新技术等有效手段。</w:t>
      </w:r>
    </w:p>
    <w:p>
      <w:pPr>
        <w:widowControl/>
        <w:spacing w:line="560" w:lineRule="exact"/>
        <w:ind w:firstLine="640" w:firstLineChars="200"/>
        <w:jc w:val="left"/>
        <w:rPr>
          <w:lang w:eastAsia="zh-Hans"/>
        </w:rPr>
      </w:pPr>
      <w:r>
        <w:rPr>
          <w:rFonts w:hint="eastAsia" w:ascii="楷体_GB2312" w:hAnsi="楷体_GB2312" w:eastAsia="楷体_GB2312" w:cs="楷体_GB2312"/>
          <w:bCs/>
          <w:snapToGrid w:val="0"/>
          <w:kern w:val="32"/>
          <w:sz w:val="32"/>
          <w:szCs w:val="32"/>
        </w:rPr>
        <w:t>（二）计分方法：</w:t>
      </w:r>
      <w:r>
        <w:rPr>
          <w:rFonts w:hint="eastAsia" w:ascii="仿宋_GB2312" w:hAnsi="宋体" w:eastAsia="仿宋_GB2312" w:cs="Times New Roman"/>
          <w:bCs/>
          <w:snapToGrid w:val="0"/>
          <w:kern w:val="32"/>
          <w:sz w:val="32"/>
          <w:szCs w:val="32"/>
        </w:rPr>
        <w:t>申报单位自行申报</w:t>
      </w:r>
      <w:r>
        <w:rPr>
          <w:rFonts w:hint="eastAsia" w:ascii="仿宋_GB2312" w:hAnsi="宋体" w:eastAsia="仿宋_GB2312" w:cs="Times New Roman"/>
          <w:bCs/>
          <w:snapToGrid w:val="0"/>
          <w:kern w:val="32"/>
          <w:sz w:val="32"/>
          <w:szCs w:val="32"/>
          <w:lang w:eastAsia="zh-CN"/>
        </w:rPr>
        <w:t>，</w:t>
      </w:r>
      <w:r>
        <w:rPr>
          <w:rFonts w:hint="eastAsia" w:ascii="仿宋_GB2312" w:hAnsi="宋体" w:eastAsia="仿宋_GB2312" w:cs="Times New Roman"/>
          <w:bCs/>
          <w:snapToGrid w:val="0"/>
          <w:kern w:val="32"/>
          <w:sz w:val="32"/>
          <w:szCs w:val="32"/>
        </w:rPr>
        <w:t>经项目管理单位核实，根据效果给予1-</w:t>
      </w:r>
      <w:r>
        <w:rPr>
          <w:rFonts w:ascii="仿宋_GB2312" w:hAnsi="宋体" w:eastAsia="仿宋_GB2312" w:cs="Times New Roman"/>
          <w:bCs/>
          <w:snapToGrid w:val="0"/>
          <w:kern w:val="32"/>
          <w:sz w:val="32"/>
          <w:szCs w:val="32"/>
        </w:rPr>
        <w:t>5</w:t>
      </w:r>
      <w:r>
        <w:rPr>
          <w:rFonts w:hint="eastAsia" w:ascii="仿宋_GB2312" w:hAnsi="宋体" w:eastAsia="仿宋_GB2312" w:cs="Times New Roman"/>
          <w:bCs/>
          <w:snapToGrid w:val="0"/>
          <w:kern w:val="32"/>
          <w:sz w:val="32"/>
          <w:szCs w:val="32"/>
        </w:rPr>
        <w:t>分，否则为0分。</w:t>
      </w:r>
    </w:p>
    <w:p>
      <w:pPr>
        <w:widowControl/>
        <w:spacing w:line="560" w:lineRule="exact"/>
        <w:ind w:firstLine="420" w:firstLineChars="200"/>
        <w:jc w:val="left"/>
        <w:rPr>
          <w:lang w:eastAsia="zh-Hans"/>
        </w:rPr>
      </w:pPr>
    </w:p>
    <w:sectPr>
      <w:headerReference r:id="rId6" w:type="default"/>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DejaVu Sans">
    <w:altName w:val="Times New Roman"/>
    <w:panose1 w:val="00000000000000000000"/>
    <w:charset w:val="00"/>
    <w:family w:val="roman"/>
    <w:pitch w:val="default"/>
    <w:sig w:usb0="00000000" w:usb1="00000000" w:usb2="00000008" w:usb3="00000000" w:csb0="0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Times New Roman Bold">
    <w:altName w:val="Times New Roman"/>
    <w:panose1 w:val="02020803070505020304"/>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ascii="宋体" w:hAnsi="宋体" w:eastAsia="仿宋_GB2312" w:cs="Times New Roman"/>
        <w:snapToGrid w:val="0"/>
        <w:kern w:val="32"/>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16</w:t>
                    </w:r>
                    <w:r>
                      <w:fldChar w:fldCharType="end"/>
                    </w:r>
                  </w:p>
                </w:txbxContent>
              </v:textbox>
            </v:shape>
          </w:pict>
        </mc:Fallback>
      </mc:AlternateContent>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b/>
        <w:bCs/>
        <w:sz w:val="36"/>
      </w:rPr>
    </w:pPr>
  </w:p>
  <w:p>
    <w:pPr>
      <w:pStyle w:val="6"/>
      <w:pBdr>
        <w:bottom w:val="none" w:color="auto" w:sz="0" w:space="0"/>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rPr>
        <w:b/>
        <w:bCs/>
        <w:sz w:val="36"/>
      </w:rPr>
    </w:pPr>
  </w:p>
  <w:p>
    <w:pPr>
      <w:pStyle w:val="6"/>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917C3"/>
    <w:multiLevelType w:val="multilevel"/>
    <w:tmpl w:val="2C5917C3"/>
    <w:lvl w:ilvl="0" w:tentative="0">
      <w:start w:val="1"/>
      <w:numFmt w:val="none"/>
      <w:pStyle w:val="25"/>
      <w:suff w:val="nothing"/>
      <w:lvlText w:val="%1——"/>
      <w:lvlJc w:val="left"/>
      <w:pPr>
        <w:ind w:left="1401" w:hanging="408"/>
      </w:pPr>
      <w:rPr>
        <w:rFonts w:hint="eastAsia"/>
        <w:lang w:val="en-US"/>
      </w:rPr>
    </w:lvl>
    <w:lvl w:ilvl="1" w:tentative="0">
      <w:start w:val="1"/>
      <w:numFmt w:val="bullet"/>
      <w:pStyle w:val="26"/>
      <w:lvlText w:val=""/>
      <w:lvlJc w:val="left"/>
      <w:pPr>
        <w:tabs>
          <w:tab w:val="left" w:pos="902"/>
        </w:tabs>
        <w:ind w:left="1406"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
    <w:nsid w:val="2FD41A1B"/>
    <w:multiLevelType w:val="multilevel"/>
    <w:tmpl w:val="2FD41A1B"/>
    <w:lvl w:ilvl="0" w:tentative="0">
      <w:start w:val="1"/>
      <w:numFmt w:val="lowerLetter"/>
      <w:pStyle w:val="27"/>
      <w:lvlText w:val="%1)"/>
      <w:lvlJc w:val="left"/>
      <w:pPr>
        <w:tabs>
          <w:tab w:val="left" w:pos="840"/>
        </w:tabs>
        <w:ind w:left="839" w:hanging="419"/>
      </w:pPr>
      <w:rPr>
        <w:rFonts w:hint="default" w:ascii="Times New Roman" w:hAnsi="Times New Roman" w:eastAsia="宋体" w:cs="Times New Roman"/>
        <w:b w:val="0"/>
        <w:i w:val="0"/>
        <w:sz w:val="21"/>
        <w:szCs w:val="21"/>
      </w:rPr>
    </w:lvl>
    <w:lvl w:ilvl="1" w:tentative="0">
      <w:start w:val="1"/>
      <w:numFmt w:val="decimal"/>
      <w:lvlText w:val="%2)"/>
      <w:lvlJc w:val="left"/>
      <w:pPr>
        <w:tabs>
          <w:tab w:val="left" w:pos="420"/>
        </w:tabs>
        <w:ind w:left="41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1OWZlNmU4NmUxZjBlNDBhNDE3ZTVkNmYyMzc1MjgifQ=="/>
  </w:docVars>
  <w:rsids>
    <w:rsidRoot w:val="00172A27"/>
    <w:rsid w:val="0001027D"/>
    <w:rsid w:val="00055F63"/>
    <w:rsid w:val="000E7897"/>
    <w:rsid w:val="00120676"/>
    <w:rsid w:val="00123CB9"/>
    <w:rsid w:val="00143FEA"/>
    <w:rsid w:val="00172A27"/>
    <w:rsid w:val="001C0449"/>
    <w:rsid w:val="001F1D2C"/>
    <w:rsid w:val="002172A9"/>
    <w:rsid w:val="002464B3"/>
    <w:rsid w:val="003C65B0"/>
    <w:rsid w:val="003D2A56"/>
    <w:rsid w:val="003F02A3"/>
    <w:rsid w:val="003F37A6"/>
    <w:rsid w:val="004803E5"/>
    <w:rsid w:val="004B0396"/>
    <w:rsid w:val="004F0718"/>
    <w:rsid w:val="006426FA"/>
    <w:rsid w:val="00654E69"/>
    <w:rsid w:val="006672FC"/>
    <w:rsid w:val="006C6438"/>
    <w:rsid w:val="006E4EEB"/>
    <w:rsid w:val="00702647"/>
    <w:rsid w:val="007218C4"/>
    <w:rsid w:val="00722E86"/>
    <w:rsid w:val="00742921"/>
    <w:rsid w:val="00743144"/>
    <w:rsid w:val="00755C46"/>
    <w:rsid w:val="007B16CC"/>
    <w:rsid w:val="007D34A4"/>
    <w:rsid w:val="00807C03"/>
    <w:rsid w:val="00820C3F"/>
    <w:rsid w:val="00865A17"/>
    <w:rsid w:val="008B5614"/>
    <w:rsid w:val="008C33E9"/>
    <w:rsid w:val="00913EE1"/>
    <w:rsid w:val="00921F24"/>
    <w:rsid w:val="009A4D33"/>
    <w:rsid w:val="009C337D"/>
    <w:rsid w:val="009E3188"/>
    <w:rsid w:val="00AD4110"/>
    <w:rsid w:val="00AD58EC"/>
    <w:rsid w:val="00AE0EBA"/>
    <w:rsid w:val="00B37A2F"/>
    <w:rsid w:val="00BC1AE7"/>
    <w:rsid w:val="00BC7692"/>
    <w:rsid w:val="00C57A70"/>
    <w:rsid w:val="00C755F1"/>
    <w:rsid w:val="00C81FA6"/>
    <w:rsid w:val="00D036E3"/>
    <w:rsid w:val="00E06233"/>
    <w:rsid w:val="00E30D59"/>
    <w:rsid w:val="00E47825"/>
    <w:rsid w:val="00E57C99"/>
    <w:rsid w:val="00E62FB8"/>
    <w:rsid w:val="00EB62D4"/>
    <w:rsid w:val="00EC499B"/>
    <w:rsid w:val="00F25980"/>
    <w:rsid w:val="00FB248C"/>
    <w:rsid w:val="01327270"/>
    <w:rsid w:val="0176342C"/>
    <w:rsid w:val="01814321"/>
    <w:rsid w:val="0192652E"/>
    <w:rsid w:val="01A050EF"/>
    <w:rsid w:val="02104022"/>
    <w:rsid w:val="0226523E"/>
    <w:rsid w:val="026B74AB"/>
    <w:rsid w:val="02B726F0"/>
    <w:rsid w:val="02CD1F13"/>
    <w:rsid w:val="031C07A5"/>
    <w:rsid w:val="0337738D"/>
    <w:rsid w:val="03536509"/>
    <w:rsid w:val="038500F8"/>
    <w:rsid w:val="03B94246"/>
    <w:rsid w:val="03E77005"/>
    <w:rsid w:val="040C6A6B"/>
    <w:rsid w:val="041934C9"/>
    <w:rsid w:val="0427616D"/>
    <w:rsid w:val="0433224A"/>
    <w:rsid w:val="04784101"/>
    <w:rsid w:val="05145BD8"/>
    <w:rsid w:val="052851DF"/>
    <w:rsid w:val="058C7E64"/>
    <w:rsid w:val="05A30D0A"/>
    <w:rsid w:val="05A47342"/>
    <w:rsid w:val="05BC33C9"/>
    <w:rsid w:val="05C868E4"/>
    <w:rsid w:val="062C51A3"/>
    <w:rsid w:val="0635675A"/>
    <w:rsid w:val="06677F83"/>
    <w:rsid w:val="06862B05"/>
    <w:rsid w:val="068C0D61"/>
    <w:rsid w:val="0696261C"/>
    <w:rsid w:val="06EB6E0C"/>
    <w:rsid w:val="07177C01"/>
    <w:rsid w:val="073E1554"/>
    <w:rsid w:val="074F1149"/>
    <w:rsid w:val="075A189C"/>
    <w:rsid w:val="07F74BC0"/>
    <w:rsid w:val="083D71F3"/>
    <w:rsid w:val="0849203C"/>
    <w:rsid w:val="084D31AF"/>
    <w:rsid w:val="084E1401"/>
    <w:rsid w:val="08787C04"/>
    <w:rsid w:val="08C16076"/>
    <w:rsid w:val="09B63701"/>
    <w:rsid w:val="09BE4364"/>
    <w:rsid w:val="09C000DC"/>
    <w:rsid w:val="09D9119E"/>
    <w:rsid w:val="0A310FDA"/>
    <w:rsid w:val="0A5627EE"/>
    <w:rsid w:val="0A6308E9"/>
    <w:rsid w:val="0A63354A"/>
    <w:rsid w:val="0A8C7FBE"/>
    <w:rsid w:val="0B1B1342"/>
    <w:rsid w:val="0B554854"/>
    <w:rsid w:val="0B7D1FFD"/>
    <w:rsid w:val="0BD7E14F"/>
    <w:rsid w:val="0C2B7935"/>
    <w:rsid w:val="0C6C454B"/>
    <w:rsid w:val="0C833643"/>
    <w:rsid w:val="0C932B21"/>
    <w:rsid w:val="0CAA6E21"/>
    <w:rsid w:val="0CCF0636"/>
    <w:rsid w:val="0CEB1914"/>
    <w:rsid w:val="0D352B8F"/>
    <w:rsid w:val="0D410B0B"/>
    <w:rsid w:val="0D95362E"/>
    <w:rsid w:val="0DB55F9C"/>
    <w:rsid w:val="0DC9712D"/>
    <w:rsid w:val="0E2575E4"/>
    <w:rsid w:val="0E323572"/>
    <w:rsid w:val="0E903981"/>
    <w:rsid w:val="0E973ED8"/>
    <w:rsid w:val="0EB16245"/>
    <w:rsid w:val="0F024CF3"/>
    <w:rsid w:val="0F8E6586"/>
    <w:rsid w:val="0F933B9D"/>
    <w:rsid w:val="0FE443F8"/>
    <w:rsid w:val="0FF860F6"/>
    <w:rsid w:val="0FFF7371"/>
    <w:rsid w:val="10063951"/>
    <w:rsid w:val="100D394F"/>
    <w:rsid w:val="10262C63"/>
    <w:rsid w:val="1081433D"/>
    <w:rsid w:val="10AD0C8E"/>
    <w:rsid w:val="10C61D50"/>
    <w:rsid w:val="10D80401"/>
    <w:rsid w:val="10EE5D63"/>
    <w:rsid w:val="10FD1C16"/>
    <w:rsid w:val="11366ED6"/>
    <w:rsid w:val="126307C1"/>
    <w:rsid w:val="127A580F"/>
    <w:rsid w:val="12E56E05"/>
    <w:rsid w:val="12F706A6"/>
    <w:rsid w:val="12F901BB"/>
    <w:rsid w:val="132E6594"/>
    <w:rsid w:val="135A334F"/>
    <w:rsid w:val="136C6BDF"/>
    <w:rsid w:val="13855EF2"/>
    <w:rsid w:val="1399A970"/>
    <w:rsid w:val="139A199E"/>
    <w:rsid w:val="13A66595"/>
    <w:rsid w:val="141352AC"/>
    <w:rsid w:val="141F6347"/>
    <w:rsid w:val="14465682"/>
    <w:rsid w:val="145A737F"/>
    <w:rsid w:val="147E4E1C"/>
    <w:rsid w:val="14DC0A6A"/>
    <w:rsid w:val="14E54E9B"/>
    <w:rsid w:val="15005B61"/>
    <w:rsid w:val="15581B10"/>
    <w:rsid w:val="15932B49"/>
    <w:rsid w:val="15D2312F"/>
    <w:rsid w:val="15E05662"/>
    <w:rsid w:val="15EF58A5"/>
    <w:rsid w:val="15FD3282"/>
    <w:rsid w:val="160107D9"/>
    <w:rsid w:val="160A26DF"/>
    <w:rsid w:val="160B0931"/>
    <w:rsid w:val="16315EBE"/>
    <w:rsid w:val="166444E5"/>
    <w:rsid w:val="166E7112"/>
    <w:rsid w:val="16A36DBB"/>
    <w:rsid w:val="16C94348"/>
    <w:rsid w:val="17410B61"/>
    <w:rsid w:val="17465999"/>
    <w:rsid w:val="176A78D9"/>
    <w:rsid w:val="18422604"/>
    <w:rsid w:val="184C6FDF"/>
    <w:rsid w:val="18890048"/>
    <w:rsid w:val="18954E2A"/>
    <w:rsid w:val="18980476"/>
    <w:rsid w:val="196A1E12"/>
    <w:rsid w:val="19722A75"/>
    <w:rsid w:val="19AA220F"/>
    <w:rsid w:val="19C53688"/>
    <w:rsid w:val="19CE23A1"/>
    <w:rsid w:val="19CF1C75"/>
    <w:rsid w:val="19DA1DB4"/>
    <w:rsid w:val="19E46D2D"/>
    <w:rsid w:val="19EF773C"/>
    <w:rsid w:val="1A604FC3"/>
    <w:rsid w:val="1A6D2C8E"/>
    <w:rsid w:val="1A734CF7"/>
    <w:rsid w:val="1A756CC1"/>
    <w:rsid w:val="1A9F5AEC"/>
    <w:rsid w:val="1AB377E9"/>
    <w:rsid w:val="1ADF238C"/>
    <w:rsid w:val="1AF20311"/>
    <w:rsid w:val="1B7DDCC9"/>
    <w:rsid w:val="1BA17641"/>
    <w:rsid w:val="1BAA7AAC"/>
    <w:rsid w:val="1BCD21D4"/>
    <w:rsid w:val="1BE91714"/>
    <w:rsid w:val="1BF605E9"/>
    <w:rsid w:val="1BFB31F6"/>
    <w:rsid w:val="1C155094"/>
    <w:rsid w:val="1C485D0F"/>
    <w:rsid w:val="1C4C3A51"/>
    <w:rsid w:val="1CB3587E"/>
    <w:rsid w:val="1CBB2985"/>
    <w:rsid w:val="1D1A58FD"/>
    <w:rsid w:val="1D4B5AB7"/>
    <w:rsid w:val="1D552DD9"/>
    <w:rsid w:val="1D8D2573"/>
    <w:rsid w:val="1DC1547F"/>
    <w:rsid w:val="1DEFCDF7"/>
    <w:rsid w:val="1E04659A"/>
    <w:rsid w:val="1E480248"/>
    <w:rsid w:val="1F212F73"/>
    <w:rsid w:val="1F301408"/>
    <w:rsid w:val="1F507DBE"/>
    <w:rsid w:val="1F6966C8"/>
    <w:rsid w:val="1FAD8524"/>
    <w:rsid w:val="1FFFD6D4"/>
    <w:rsid w:val="200603BB"/>
    <w:rsid w:val="202251F5"/>
    <w:rsid w:val="20325537"/>
    <w:rsid w:val="2059498F"/>
    <w:rsid w:val="205E3D53"/>
    <w:rsid w:val="211A6962"/>
    <w:rsid w:val="211B1C44"/>
    <w:rsid w:val="213F7E27"/>
    <w:rsid w:val="219537A4"/>
    <w:rsid w:val="21D97B35"/>
    <w:rsid w:val="22266AF2"/>
    <w:rsid w:val="228736B3"/>
    <w:rsid w:val="22946F84"/>
    <w:rsid w:val="231828DF"/>
    <w:rsid w:val="23362D65"/>
    <w:rsid w:val="2342170A"/>
    <w:rsid w:val="23451001"/>
    <w:rsid w:val="23623B5A"/>
    <w:rsid w:val="23771222"/>
    <w:rsid w:val="237E4C0E"/>
    <w:rsid w:val="23B26890"/>
    <w:rsid w:val="23C71C0F"/>
    <w:rsid w:val="24155071"/>
    <w:rsid w:val="24286B52"/>
    <w:rsid w:val="24466D31"/>
    <w:rsid w:val="244E33BB"/>
    <w:rsid w:val="244F2331"/>
    <w:rsid w:val="248F097F"/>
    <w:rsid w:val="249521C0"/>
    <w:rsid w:val="24BE34B4"/>
    <w:rsid w:val="252C4420"/>
    <w:rsid w:val="253634F0"/>
    <w:rsid w:val="25441769"/>
    <w:rsid w:val="25A4045A"/>
    <w:rsid w:val="25A710C1"/>
    <w:rsid w:val="25C47954"/>
    <w:rsid w:val="25DA3E7C"/>
    <w:rsid w:val="25EE7927"/>
    <w:rsid w:val="26033EB4"/>
    <w:rsid w:val="26170C2C"/>
    <w:rsid w:val="261D1FBA"/>
    <w:rsid w:val="266B71CA"/>
    <w:rsid w:val="26B75F6B"/>
    <w:rsid w:val="27003DB6"/>
    <w:rsid w:val="27465428"/>
    <w:rsid w:val="27590A10"/>
    <w:rsid w:val="27734588"/>
    <w:rsid w:val="2790513A"/>
    <w:rsid w:val="279664C8"/>
    <w:rsid w:val="27F7C57B"/>
    <w:rsid w:val="27F80003"/>
    <w:rsid w:val="2815563F"/>
    <w:rsid w:val="28302479"/>
    <w:rsid w:val="28305FD5"/>
    <w:rsid w:val="289447B6"/>
    <w:rsid w:val="28D92B11"/>
    <w:rsid w:val="28DC615D"/>
    <w:rsid w:val="28F33BD2"/>
    <w:rsid w:val="29057462"/>
    <w:rsid w:val="2987431B"/>
    <w:rsid w:val="29A273A6"/>
    <w:rsid w:val="29EA6657"/>
    <w:rsid w:val="29F56E4C"/>
    <w:rsid w:val="2A1060BE"/>
    <w:rsid w:val="2A3F341C"/>
    <w:rsid w:val="2A750617"/>
    <w:rsid w:val="2AE337D3"/>
    <w:rsid w:val="2B086ABE"/>
    <w:rsid w:val="2B1611AF"/>
    <w:rsid w:val="2B4029D3"/>
    <w:rsid w:val="2B5E10AB"/>
    <w:rsid w:val="2B95696A"/>
    <w:rsid w:val="2BB1567F"/>
    <w:rsid w:val="2BC453B2"/>
    <w:rsid w:val="2BCECBB6"/>
    <w:rsid w:val="2BD355F5"/>
    <w:rsid w:val="2BED7625"/>
    <w:rsid w:val="2C3A1B18"/>
    <w:rsid w:val="2C5D1363"/>
    <w:rsid w:val="2C6426F1"/>
    <w:rsid w:val="2C7548FE"/>
    <w:rsid w:val="2CCA2AA6"/>
    <w:rsid w:val="2CF41CC7"/>
    <w:rsid w:val="2D3CD5B8"/>
    <w:rsid w:val="2D3E1194"/>
    <w:rsid w:val="2D746964"/>
    <w:rsid w:val="2D8FEC10"/>
    <w:rsid w:val="2DDB69E3"/>
    <w:rsid w:val="2DED6716"/>
    <w:rsid w:val="2DF16206"/>
    <w:rsid w:val="2DFD3CA0"/>
    <w:rsid w:val="2E0C1292"/>
    <w:rsid w:val="2E6C1D31"/>
    <w:rsid w:val="2E81758A"/>
    <w:rsid w:val="2E954DE4"/>
    <w:rsid w:val="2E9C43C4"/>
    <w:rsid w:val="2F371645"/>
    <w:rsid w:val="2F430CE4"/>
    <w:rsid w:val="2F6F2982"/>
    <w:rsid w:val="2F723377"/>
    <w:rsid w:val="2F7EF70F"/>
    <w:rsid w:val="2F9652B7"/>
    <w:rsid w:val="2FBE480E"/>
    <w:rsid w:val="2FC31E25"/>
    <w:rsid w:val="2FE6DFCD"/>
    <w:rsid w:val="30227E4E"/>
    <w:rsid w:val="303D5733"/>
    <w:rsid w:val="305111DE"/>
    <w:rsid w:val="3082583C"/>
    <w:rsid w:val="308C0468"/>
    <w:rsid w:val="315A3E8F"/>
    <w:rsid w:val="31973569"/>
    <w:rsid w:val="31A43590"/>
    <w:rsid w:val="32087FC3"/>
    <w:rsid w:val="3287538B"/>
    <w:rsid w:val="32B51EF8"/>
    <w:rsid w:val="32BA008D"/>
    <w:rsid w:val="32EB76C8"/>
    <w:rsid w:val="338813BB"/>
    <w:rsid w:val="33B7D828"/>
    <w:rsid w:val="3434509F"/>
    <w:rsid w:val="344E0427"/>
    <w:rsid w:val="345C0152"/>
    <w:rsid w:val="345D63A4"/>
    <w:rsid w:val="346A286F"/>
    <w:rsid w:val="347E456C"/>
    <w:rsid w:val="348D051E"/>
    <w:rsid w:val="3495605A"/>
    <w:rsid w:val="349B3370"/>
    <w:rsid w:val="34BD32E6"/>
    <w:rsid w:val="34D523DE"/>
    <w:rsid w:val="34E512E3"/>
    <w:rsid w:val="34E70693"/>
    <w:rsid w:val="35064C8D"/>
    <w:rsid w:val="352944D8"/>
    <w:rsid w:val="3533663A"/>
    <w:rsid w:val="3534191A"/>
    <w:rsid w:val="357BC6BF"/>
    <w:rsid w:val="35906305"/>
    <w:rsid w:val="3592207D"/>
    <w:rsid w:val="35D94150"/>
    <w:rsid w:val="35DF2E65"/>
    <w:rsid w:val="361707D4"/>
    <w:rsid w:val="361E7F1E"/>
    <w:rsid w:val="36545584"/>
    <w:rsid w:val="36D93CDC"/>
    <w:rsid w:val="37450DA6"/>
    <w:rsid w:val="3777838F"/>
    <w:rsid w:val="379873CA"/>
    <w:rsid w:val="37C91FA2"/>
    <w:rsid w:val="37CB1876"/>
    <w:rsid w:val="37CF580A"/>
    <w:rsid w:val="37DD15AA"/>
    <w:rsid w:val="37E666B0"/>
    <w:rsid w:val="37F40062"/>
    <w:rsid w:val="37FC7C24"/>
    <w:rsid w:val="38196A86"/>
    <w:rsid w:val="382C4A0B"/>
    <w:rsid w:val="384A4E91"/>
    <w:rsid w:val="388E7474"/>
    <w:rsid w:val="38912AC0"/>
    <w:rsid w:val="38E074EB"/>
    <w:rsid w:val="39047736"/>
    <w:rsid w:val="390A56A6"/>
    <w:rsid w:val="39445D84"/>
    <w:rsid w:val="398C1245"/>
    <w:rsid w:val="39930ABA"/>
    <w:rsid w:val="39A90E6D"/>
    <w:rsid w:val="3A105C66"/>
    <w:rsid w:val="3A211100"/>
    <w:rsid w:val="3A2D4A6A"/>
    <w:rsid w:val="3A916DA7"/>
    <w:rsid w:val="3ACD1F41"/>
    <w:rsid w:val="3B0F4170"/>
    <w:rsid w:val="3B181276"/>
    <w:rsid w:val="3B3140E6"/>
    <w:rsid w:val="3B60677A"/>
    <w:rsid w:val="3B7364AD"/>
    <w:rsid w:val="3B7E604C"/>
    <w:rsid w:val="3B9F937A"/>
    <w:rsid w:val="3BA15B06"/>
    <w:rsid w:val="3BA83D2E"/>
    <w:rsid w:val="3BBB1019"/>
    <w:rsid w:val="3BE23632"/>
    <w:rsid w:val="3BE60C01"/>
    <w:rsid w:val="3BE64ED1"/>
    <w:rsid w:val="3BFE9CD0"/>
    <w:rsid w:val="3C1852A6"/>
    <w:rsid w:val="3C7C92D6"/>
    <w:rsid w:val="3C8722F1"/>
    <w:rsid w:val="3CF74954"/>
    <w:rsid w:val="3D2D161A"/>
    <w:rsid w:val="3D7F41E2"/>
    <w:rsid w:val="3D825C60"/>
    <w:rsid w:val="3D8726E3"/>
    <w:rsid w:val="3DA07301"/>
    <w:rsid w:val="3DAE7C70"/>
    <w:rsid w:val="3DD376D7"/>
    <w:rsid w:val="3DFC4E7F"/>
    <w:rsid w:val="3E2D328B"/>
    <w:rsid w:val="3E9E7CE5"/>
    <w:rsid w:val="3EC716C6"/>
    <w:rsid w:val="3EC86B10"/>
    <w:rsid w:val="3EE3C1CC"/>
    <w:rsid w:val="3EE417EC"/>
    <w:rsid w:val="3EE65C19"/>
    <w:rsid w:val="3F053C5B"/>
    <w:rsid w:val="3F125FDD"/>
    <w:rsid w:val="3F542A99"/>
    <w:rsid w:val="3F733F27"/>
    <w:rsid w:val="3F7A79AC"/>
    <w:rsid w:val="3F7FB4CA"/>
    <w:rsid w:val="3FB4BAFC"/>
    <w:rsid w:val="3FCC02E4"/>
    <w:rsid w:val="3FE91433"/>
    <w:rsid w:val="3FF102E8"/>
    <w:rsid w:val="3FF1C6F5"/>
    <w:rsid w:val="3FF36CF8"/>
    <w:rsid w:val="40142C0D"/>
    <w:rsid w:val="40271F5C"/>
    <w:rsid w:val="40503261"/>
    <w:rsid w:val="405A5E8D"/>
    <w:rsid w:val="406E1939"/>
    <w:rsid w:val="40A45681"/>
    <w:rsid w:val="40A55194"/>
    <w:rsid w:val="40B16935"/>
    <w:rsid w:val="40FB141E"/>
    <w:rsid w:val="41566655"/>
    <w:rsid w:val="41586871"/>
    <w:rsid w:val="41865C13"/>
    <w:rsid w:val="4194717D"/>
    <w:rsid w:val="4290203A"/>
    <w:rsid w:val="42CF2B62"/>
    <w:rsid w:val="42D33CD5"/>
    <w:rsid w:val="42D77C69"/>
    <w:rsid w:val="42E859D2"/>
    <w:rsid w:val="42F44377"/>
    <w:rsid w:val="42FF3C23"/>
    <w:rsid w:val="43397FDC"/>
    <w:rsid w:val="43541009"/>
    <w:rsid w:val="43827BD5"/>
    <w:rsid w:val="438A0837"/>
    <w:rsid w:val="438F40A0"/>
    <w:rsid w:val="43A06C70"/>
    <w:rsid w:val="43AF64F0"/>
    <w:rsid w:val="43FFFDCE"/>
    <w:rsid w:val="4427077C"/>
    <w:rsid w:val="443640EC"/>
    <w:rsid w:val="4439364C"/>
    <w:rsid w:val="44446C38"/>
    <w:rsid w:val="44BE2E8F"/>
    <w:rsid w:val="44C935E1"/>
    <w:rsid w:val="44EE4DF6"/>
    <w:rsid w:val="455530C7"/>
    <w:rsid w:val="45967968"/>
    <w:rsid w:val="45B71430"/>
    <w:rsid w:val="45B778DE"/>
    <w:rsid w:val="463D4287"/>
    <w:rsid w:val="46454EEA"/>
    <w:rsid w:val="4651F6B5"/>
    <w:rsid w:val="46572CEA"/>
    <w:rsid w:val="46BB4A40"/>
    <w:rsid w:val="46E464B1"/>
    <w:rsid w:val="47013507"/>
    <w:rsid w:val="4732546E"/>
    <w:rsid w:val="474433F3"/>
    <w:rsid w:val="475C698F"/>
    <w:rsid w:val="477E5CB2"/>
    <w:rsid w:val="47835CCA"/>
    <w:rsid w:val="479E6FA7"/>
    <w:rsid w:val="47C06F1E"/>
    <w:rsid w:val="47DE55F6"/>
    <w:rsid w:val="47F72214"/>
    <w:rsid w:val="48050DD4"/>
    <w:rsid w:val="4822189B"/>
    <w:rsid w:val="4860600B"/>
    <w:rsid w:val="487E2A5B"/>
    <w:rsid w:val="49303C2F"/>
    <w:rsid w:val="49441489"/>
    <w:rsid w:val="4A227A1C"/>
    <w:rsid w:val="4A361719"/>
    <w:rsid w:val="4A6D4A0F"/>
    <w:rsid w:val="4A8B461F"/>
    <w:rsid w:val="4A954692"/>
    <w:rsid w:val="4A9D70A2"/>
    <w:rsid w:val="4AA541A9"/>
    <w:rsid w:val="4B0435C5"/>
    <w:rsid w:val="4B0C5FD6"/>
    <w:rsid w:val="4B2477C4"/>
    <w:rsid w:val="4B8B4870"/>
    <w:rsid w:val="4B9304A5"/>
    <w:rsid w:val="4BA803F5"/>
    <w:rsid w:val="4BE7FD85"/>
    <w:rsid w:val="4BEF7DD1"/>
    <w:rsid w:val="4C13217D"/>
    <w:rsid w:val="4C1C4ED8"/>
    <w:rsid w:val="4C2B6F65"/>
    <w:rsid w:val="4C2D4456"/>
    <w:rsid w:val="4C5B0FC3"/>
    <w:rsid w:val="4C5B7215"/>
    <w:rsid w:val="4C8F5111"/>
    <w:rsid w:val="4CCE326C"/>
    <w:rsid w:val="4CD82614"/>
    <w:rsid w:val="4CDB2104"/>
    <w:rsid w:val="4D1B2D86"/>
    <w:rsid w:val="4D493511"/>
    <w:rsid w:val="4D566F36"/>
    <w:rsid w:val="4D7710AB"/>
    <w:rsid w:val="4D981DA3"/>
    <w:rsid w:val="4DD0778F"/>
    <w:rsid w:val="4E0D1580"/>
    <w:rsid w:val="4E143B1F"/>
    <w:rsid w:val="4E231FB4"/>
    <w:rsid w:val="4E830CA5"/>
    <w:rsid w:val="4EA85D29"/>
    <w:rsid w:val="4EB15812"/>
    <w:rsid w:val="4EBB3F9B"/>
    <w:rsid w:val="4F231B40"/>
    <w:rsid w:val="4F477F24"/>
    <w:rsid w:val="4F4E8DB0"/>
    <w:rsid w:val="4F52B5F1"/>
    <w:rsid w:val="4F6C798B"/>
    <w:rsid w:val="4FBA6948"/>
    <w:rsid w:val="4FD712A8"/>
    <w:rsid w:val="501B6171"/>
    <w:rsid w:val="503F29AA"/>
    <w:rsid w:val="50621378"/>
    <w:rsid w:val="506D39BB"/>
    <w:rsid w:val="507408A5"/>
    <w:rsid w:val="50AB2FBE"/>
    <w:rsid w:val="50D650BC"/>
    <w:rsid w:val="51360251"/>
    <w:rsid w:val="516F619C"/>
    <w:rsid w:val="5176689F"/>
    <w:rsid w:val="517FA46D"/>
    <w:rsid w:val="51AC22C1"/>
    <w:rsid w:val="51F36142"/>
    <w:rsid w:val="51F85506"/>
    <w:rsid w:val="520259FF"/>
    <w:rsid w:val="52045C59"/>
    <w:rsid w:val="52392104"/>
    <w:rsid w:val="52B633F7"/>
    <w:rsid w:val="52C378C2"/>
    <w:rsid w:val="52D715BF"/>
    <w:rsid w:val="52EA3EFA"/>
    <w:rsid w:val="532C5467"/>
    <w:rsid w:val="533B56AA"/>
    <w:rsid w:val="537B019D"/>
    <w:rsid w:val="53982AFD"/>
    <w:rsid w:val="53BF28EA"/>
    <w:rsid w:val="53C733E2"/>
    <w:rsid w:val="53D855EF"/>
    <w:rsid w:val="53EF1C2F"/>
    <w:rsid w:val="53F040F3"/>
    <w:rsid w:val="540518D0"/>
    <w:rsid w:val="542E16B3"/>
    <w:rsid w:val="54B43966"/>
    <w:rsid w:val="54BF43A0"/>
    <w:rsid w:val="54CD2C7A"/>
    <w:rsid w:val="54CF07A0"/>
    <w:rsid w:val="550D12C8"/>
    <w:rsid w:val="55C220B3"/>
    <w:rsid w:val="55C776C9"/>
    <w:rsid w:val="55CF657E"/>
    <w:rsid w:val="55DE1D3C"/>
    <w:rsid w:val="560E70A6"/>
    <w:rsid w:val="564156CE"/>
    <w:rsid w:val="56855007"/>
    <w:rsid w:val="56876E58"/>
    <w:rsid w:val="56BA0FDC"/>
    <w:rsid w:val="56FC15F5"/>
    <w:rsid w:val="56FE6A8B"/>
    <w:rsid w:val="570566FB"/>
    <w:rsid w:val="57362D58"/>
    <w:rsid w:val="573D47AB"/>
    <w:rsid w:val="575E5E0B"/>
    <w:rsid w:val="57FB7AFE"/>
    <w:rsid w:val="589046EA"/>
    <w:rsid w:val="58E97957"/>
    <w:rsid w:val="590D1897"/>
    <w:rsid w:val="59343FE0"/>
    <w:rsid w:val="5947124D"/>
    <w:rsid w:val="59554FEC"/>
    <w:rsid w:val="596F2552"/>
    <w:rsid w:val="597B72D6"/>
    <w:rsid w:val="5991071A"/>
    <w:rsid w:val="59B14918"/>
    <w:rsid w:val="59D13798"/>
    <w:rsid w:val="5A6029A6"/>
    <w:rsid w:val="5A6574B1"/>
    <w:rsid w:val="5A821E11"/>
    <w:rsid w:val="5AB78791"/>
    <w:rsid w:val="5ADB46FF"/>
    <w:rsid w:val="5AFF0A67"/>
    <w:rsid w:val="5B0D70F9"/>
    <w:rsid w:val="5B24111A"/>
    <w:rsid w:val="5B8027F4"/>
    <w:rsid w:val="5B8B1199"/>
    <w:rsid w:val="5BAB7F25"/>
    <w:rsid w:val="5BC22E0D"/>
    <w:rsid w:val="5BC61244"/>
    <w:rsid w:val="5BEF5351"/>
    <w:rsid w:val="5BFF6896"/>
    <w:rsid w:val="5C0F3B78"/>
    <w:rsid w:val="5C164F06"/>
    <w:rsid w:val="5CAFE9DF"/>
    <w:rsid w:val="5CC44962"/>
    <w:rsid w:val="5CC74453"/>
    <w:rsid w:val="5CCD4BAF"/>
    <w:rsid w:val="5CD32DF8"/>
    <w:rsid w:val="5CDD3C76"/>
    <w:rsid w:val="5CF7D4BF"/>
    <w:rsid w:val="5CFA0384"/>
    <w:rsid w:val="5D137698"/>
    <w:rsid w:val="5D284EF1"/>
    <w:rsid w:val="5D521F6E"/>
    <w:rsid w:val="5D7E07CE"/>
    <w:rsid w:val="5DFB4E00"/>
    <w:rsid w:val="5DFD637E"/>
    <w:rsid w:val="5E0E598B"/>
    <w:rsid w:val="5E385608"/>
    <w:rsid w:val="5E3B9D9E"/>
    <w:rsid w:val="5E3F0706"/>
    <w:rsid w:val="5E420235"/>
    <w:rsid w:val="5E4C4C10"/>
    <w:rsid w:val="5E5FA11F"/>
    <w:rsid w:val="5E745F14"/>
    <w:rsid w:val="5E7CCDC0"/>
    <w:rsid w:val="5E7E4895"/>
    <w:rsid w:val="5ED73AF1"/>
    <w:rsid w:val="5EEF3CCE"/>
    <w:rsid w:val="5F0B0627"/>
    <w:rsid w:val="5F180F96"/>
    <w:rsid w:val="5F3F6522"/>
    <w:rsid w:val="5F5024DD"/>
    <w:rsid w:val="5F677827"/>
    <w:rsid w:val="5F6E8998"/>
    <w:rsid w:val="5F8D66F8"/>
    <w:rsid w:val="5F920D48"/>
    <w:rsid w:val="5FB7ED6C"/>
    <w:rsid w:val="5FBF0D67"/>
    <w:rsid w:val="5FED9715"/>
    <w:rsid w:val="5FF631D0"/>
    <w:rsid w:val="602C2E66"/>
    <w:rsid w:val="607B17DC"/>
    <w:rsid w:val="608A7C71"/>
    <w:rsid w:val="608B4F12"/>
    <w:rsid w:val="60B3541A"/>
    <w:rsid w:val="60BC29BF"/>
    <w:rsid w:val="61096DE8"/>
    <w:rsid w:val="614E6EF1"/>
    <w:rsid w:val="61621033"/>
    <w:rsid w:val="61785E05"/>
    <w:rsid w:val="618172C6"/>
    <w:rsid w:val="61882403"/>
    <w:rsid w:val="619012B7"/>
    <w:rsid w:val="619568CD"/>
    <w:rsid w:val="619D39D4"/>
    <w:rsid w:val="62221679"/>
    <w:rsid w:val="62512C8A"/>
    <w:rsid w:val="62967742"/>
    <w:rsid w:val="62C751AC"/>
    <w:rsid w:val="62D60F4C"/>
    <w:rsid w:val="62DD677E"/>
    <w:rsid w:val="630B1090"/>
    <w:rsid w:val="630E6937"/>
    <w:rsid w:val="639C3F43"/>
    <w:rsid w:val="63CFCD20"/>
    <w:rsid w:val="63D27965"/>
    <w:rsid w:val="64300B2F"/>
    <w:rsid w:val="64674BE1"/>
    <w:rsid w:val="646802C9"/>
    <w:rsid w:val="646D768E"/>
    <w:rsid w:val="64882719"/>
    <w:rsid w:val="64F32289"/>
    <w:rsid w:val="64FB2EEB"/>
    <w:rsid w:val="65270184"/>
    <w:rsid w:val="652C579B"/>
    <w:rsid w:val="65515600"/>
    <w:rsid w:val="65717652"/>
    <w:rsid w:val="65C634F9"/>
    <w:rsid w:val="65FCD96C"/>
    <w:rsid w:val="661A55F3"/>
    <w:rsid w:val="6650370B"/>
    <w:rsid w:val="66BEF1ED"/>
    <w:rsid w:val="66DC0AFB"/>
    <w:rsid w:val="66EA3218"/>
    <w:rsid w:val="66F127F8"/>
    <w:rsid w:val="67A755AC"/>
    <w:rsid w:val="67F24A7A"/>
    <w:rsid w:val="67F6FD28"/>
    <w:rsid w:val="67F8D0CD"/>
    <w:rsid w:val="67FFA436"/>
    <w:rsid w:val="681C3431"/>
    <w:rsid w:val="68701E42"/>
    <w:rsid w:val="687C07E7"/>
    <w:rsid w:val="68CB020A"/>
    <w:rsid w:val="68CD4B9F"/>
    <w:rsid w:val="691D5D30"/>
    <w:rsid w:val="692C5D69"/>
    <w:rsid w:val="69CE5072"/>
    <w:rsid w:val="69E5416A"/>
    <w:rsid w:val="69F75A62"/>
    <w:rsid w:val="6A1F58CE"/>
    <w:rsid w:val="6A5061E6"/>
    <w:rsid w:val="6A5135AE"/>
    <w:rsid w:val="6A6432E1"/>
    <w:rsid w:val="6A9A6D03"/>
    <w:rsid w:val="6AB26742"/>
    <w:rsid w:val="6AC81AC2"/>
    <w:rsid w:val="6AF02DC7"/>
    <w:rsid w:val="6B403D4E"/>
    <w:rsid w:val="6B4A7EC3"/>
    <w:rsid w:val="6B9419A4"/>
    <w:rsid w:val="6B9876E6"/>
    <w:rsid w:val="6BA68596"/>
    <w:rsid w:val="6BA7E482"/>
    <w:rsid w:val="6BACC77B"/>
    <w:rsid w:val="6BAF802D"/>
    <w:rsid w:val="6BC4381E"/>
    <w:rsid w:val="6BDB24DB"/>
    <w:rsid w:val="6BEE7306"/>
    <w:rsid w:val="6C021003"/>
    <w:rsid w:val="6C272818"/>
    <w:rsid w:val="6C97799E"/>
    <w:rsid w:val="6CAB3787"/>
    <w:rsid w:val="6CC87B57"/>
    <w:rsid w:val="6CF6D6BC"/>
    <w:rsid w:val="6D3E72A4"/>
    <w:rsid w:val="6D4D4500"/>
    <w:rsid w:val="6D6DDAE5"/>
    <w:rsid w:val="6DA02882"/>
    <w:rsid w:val="6DA2484C"/>
    <w:rsid w:val="6DA73C0F"/>
    <w:rsid w:val="6DAA1953"/>
    <w:rsid w:val="6DB7071D"/>
    <w:rsid w:val="6DBFDC7F"/>
    <w:rsid w:val="6DFC7811"/>
    <w:rsid w:val="6E0C43BB"/>
    <w:rsid w:val="6E881C94"/>
    <w:rsid w:val="6EB30EDB"/>
    <w:rsid w:val="6EEED98F"/>
    <w:rsid w:val="6EF2535F"/>
    <w:rsid w:val="6EF54E4F"/>
    <w:rsid w:val="6F03C763"/>
    <w:rsid w:val="6F57925C"/>
    <w:rsid w:val="6F5FCAD7"/>
    <w:rsid w:val="6F616041"/>
    <w:rsid w:val="6F635196"/>
    <w:rsid w:val="6F775D6C"/>
    <w:rsid w:val="6F77F5FF"/>
    <w:rsid w:val="6F8B1310"/>
    <w:rsid w:val="6F963F3C"/>
    <w:rsid w:val="6FBAC486"/>
    <w:rsid w:val="6FBBB61D"/>
    <w:rsid w:val="6FD3B9F7"/>
    <w:rsid w:val="6FDB6BBD"/>
    <w:rsid w:val="6FDF2D1F"/>
    <w:rsid w:val="6FE39780"/>
    <w:rsid w:val="6FEFA049"/>
    <w:rsid w:val="6FFBD1BA"/>
    <w:rsid w:val="6FFF723D"/>
    <w:rsid w:val="701A2DBF"/>
    <w:rsid w:val="701D640C"/>
    <w:rsid w:val="702C2AF3"/>
    <w:rsid w:val="702D41C9"/>
    <w:rsid w:val="703D085C"/>
    <w:rsid w:val="705931BC"/>
    <w:rsid w:val="706C2EEF"/>
    <w:rsid w:val="70AB1C6A"/>
    <w:rsid w:val="70AB3A18"/>
    <w:rsid w:val="70C44AD9"/>
    <w:rsid w:val="70D8CEB1"/>
    <w:rsid w:val="70F058CE"/>
    <w:rsid w:val="70FF13E0"/>
    <w:rsid w:val="712910C5"/>
    <w:rsid w:val="712A5284"/>
    <w:rsid w:val="713E488C"/>
    <w:rsid w:val="71502811"/>
    <w:rsid w:val="716F2C97"/>
    <w:rsid w:val="7177E655"/>
    <w:rsid w:val="71AB0ABD"/>
    <w:rsid w:val="71E3257D"/>
    <w:rsid w:val="71F65166"/>
    <w:rsid w:val="71FF4EA8"/>
    <w:rsid w:val="720553A9"/>
    <w:rsid w:val="720E7580"/>
    <w:rsid w:val="72186B6D"/>
    <w:rsid w:val="725105EF"/>
    <w:rsid w:val="725F5851"/>
    <w:rsid w:val="726EA757"/>
    <w:rsid w:val="728C7879"/>
    <w:rsid w:val="728E35F1"/>
    <w:rsid w:val="72A921D9"/>
    <w:rsid w:val="72C94956"/>
    <w:rsid w:val="73412411"/>
    <w:rsid w:val="734904FC"/>
    <w:rsid w:val="736D76AA"/>
    <w:rsid w:val="739E5AB6"/>
    <w:rsid w:val="73E3796C"/>
    <w:rsid w:val="73EE34FE"/>
    <w:rsid w:val="73F12089"/>
    <w:rsid w:val="73F376D4"/>
    <w:rsid w:val="73FD137F"/>
    <w:rsid w:val="74505387"/>
    <w:rsid w:val="745F3497"/>
    <w:rsid w:val="74DD9CD3"/>
    <w:rsid w:val="74F14A66"/>
    <w:rsid w:val="74F71075"/>
    <w:rsid w:val="751A11EC"/>
    <w:rsid w:val="7534210E"/>
    <w:rsid w:val="753F6E24"/>
    <w:rsid w:val="7544443B"/>
    <w:rsid w:val="75AE64F2"/>
    <w:rsid w:val="75F06371"/>
    <w:rsid w:val="760F2C9B"/>
    <w:rsid w:val="76164029"/>
    <w:rsid w:val="76530DD9"/>
    <w:rsid w:val="768F7938"/>
    <w:rsid w:val="769136B0"/>
    <w:rsid w:val="76960CC6"/>
    <w:rsid w:val="76A07D97"/>
    <w:rsid w:val="76BE680C"/>
    <w:rsid w:val="76BF8D92"/>
    <w:rsid w:val="76C67FAB"/>
    <w:rsid w:val="76DD9422"/>
    <w:rsid w:val="76DF190F"/>
    <w:rsid w:val="76E75F7D"/>
    <w:rsid w:val="76EBB1F1"/>
    <w:rsid w:val="76FBDF1A"/>
    <w:rsid w:val="76FF574A"/>
    <w:rsid w:val="770A5210"/>
    <w:rsid w:val="775D3592"/>
    <w:rsid w:val="778A6B5C"/>
    <w:rsid w:val="77B27DC2"/>
    <w:rsid w:val="77B6D62E"/>
    <w:rsid w:val="77BCAE48"/>
    <w:rsid w:val="77BDF8C5"/>
    <w:rsid w:val="77C5F710"/>
    <w:rsid w:val="77DA2E34"/>
    <w:rsid w:val="77DF0839"/>
    <w:rsid w:val="77EE2435"/>
    <w:rsid w:val="77F02658"/>
    <w:rsid w:val="77F791D5"/>
    <w:rsid w:val="77FFE47B"/>
    <w:rsid w:val="78324A1E"/>
    <w:rsid w:val="78450BF6"/>
    <w:rsid w:val="78BC253A"/>
    <w:rsid w:val="78E421BD"/>
    <w:rsid w:val="78F61EF0"/>
    <w:rsid w:val="79425135"/>
    <w:rsid w:val="796B468C"/>
    <w:rsid w:val="7979EA6B"/>
    <w:rsid w:val="797CE1EF"/>
    <w:rsid w:val="79B871A5"/>
    <w:rsid w:val="79BF2FE0"/>
    <w:rsid w:val="79E9A0D2"/>
    <w:rsid w:val="79EFFB35"/>
    <w:rsid w:val="79F75F20"/>
    <w:rsid w:val="7A001E77"/>
    <w:rsid w:val="7A2605B3"/>
    <w:rsid w:val="7A5E997B"/>
    <w:rsid w:val="7A753368"/>
    <w:rsid w:val="7A756E44"/>
    <w:rsid w:val="7A7632E8"/>
    <w:rsid w:val="7ABC1938"/>
    <w:rsid w:val="7ADFFFFD"/>
    <w:rsid w:val="7AE2A322"/>
    <w:rsid w:val="7B2DFBD0"/>
    <w:rsid w:val="7B4D3F77"/>
    <w:rsid w:val="7B5353D8"/>
    <w:rsid w:val="7B5B4FD1"/>
    <w:rsid w:val="7BCF71C8"/>
    <w:rsid w:val="7BE32B49"/>
    <w:rsid w:val="7BF02C26"/>
    <w:rsid w:val="7C15268D"/>
    <w:rsid w:val="7C345209"/>
    <w:rsid w:val="7C8F243F"/>
    <w:rsid w:val="7CAA54CB"/>
    <w:rsid w:val="7CF16C56"/>
    <w:rsid w:val="7D140B97"/>
    <w:rsid w:val="7D3E28E7"/>
    <w:rsid w:val="7D3F20B7"/>
    <w:rsid w:val="7D723DB3"/>
    <w:rsid w:val="7D7358BD"/>
    <w:rsid w:val="7D7C8757"/>
    <w:rsid w:val="7D7D5CE9"/>
    <w:rsid w:val="7DB6100B"/>
    <w:rsid w:val="7DBEB26E"/>
    <w:rsid w:val="7DCC321F"/>
    <w:rsid w:val="7DDB08D3"/>
    <w:rsid w:val="7DEDBF73"/>
    <w:rsid w:val="7DF74364"/>
    <w:rsid w:val="7DF75EC7"/>
    <w:rsid w:val="7DFD9A6D"/>
    <w:rsid w:val="7DFF6FF1"/>
    <w:rsid w:val="7DFF90DB"/>
    <w:rsid w:val="7E0A7406"/>
    <w:rsid w:val="7E0D3F64"/>
    <w:rsid w:val="7E4D4360"/>
    <w:rsid w:val="7E561BB5"/>
    <w:rsid w:val="7E6009C7"/>
    <w:rsid w:val="7E7BE7E1"/>
    <w:rsid w:val="7E865AC4"/>
    <w:rsid w:val="7E8F2BCB"/>
    <w:rsid w:val="7EAE6341"/>
    <w:rsid w:val="7EAE69EE"/>
    <w:rsid w:val="7ECA3C03"/>
    <w:rsid w:val="7EED5B43"/>
    <w:rsid w:val="7EEE7F5E"/>
    <w:rsid w:val="7EF58ED0"/>
    <w:rsid w:val="7EFE0062"/>
    <w:rsid w:val="7EFF0E62"/>
    <w:rsid w:val="7EFF2F95"/>
    <w:rsid w:val="7F2D435E"/>
    <w:rsid w:val="7F3F61A0"/>
    <w:rsid w:val="7F606315"/>
    <w:rsid w:val="7F6CA3B3"/>
    <w:rsid w:val="7F75A587"/>
    <w:rsid w:val="7F7F523D"/>
    <w:rsid w:val="7F87EA77"/>
    <w:rsid w:val="7F96A6F6"/>
    <w:rsid w:val="7F976CAE"/>
    <w:rsid w:val="7F97BCF8"/>
    <w:rsid w:val="7F9935D5"/>
    <w:rsid w:val="7FB4328F"/>
    <w:rsid w:val="7FB4F344"/>
    <w:rsid w:val="7FBF33B7"/>
    <w:rsid w:val="7FBFDCE1"/>
    <w:rsid w:val="7FC40652"/>
    <w:rsid w:val="7FCF070A"/>
    <w:rsid w:val="7FDF2D81"/>
    <w:rsid w:val="7FDFB456"/>
    <w:rsid w:val="7FE0AB9E"/>
    <w:rsid w:val="7FEC5DFB"/>
    <w:rsid w:val="7FED8543"/>
    <w:rsid w:val="7FF68142"/>
    <w:rsid w:val="7FF76C79"/>
    <w:rsid w:val="7FFAED49"/>
    <w:rsid w:val="7FFB1225"/>
    <w:rsid w:val="7FFBD3F3"/>
    <w:rsid w:val="7FFE6974"/>
    <w:rsid w:val="7FFF13DA"/>
    <w:rsid w:val="7FFFA9B7"/>
    <w:rsid w:val="7FFFBAF1"/>
    <w:rsid w:val="89EFD44B"/>
    <w:rsid w:val="8BFE85ED"/>
    <w:rsid w:val="8F0F1DD1"/>
    <w:rsid w:val="8FFD4114"/>
    <w:rsid w:val="93B6C8CB"/>
    <w:rsid w:val="93D8830C"/>
    <w:rsid w:val="93DDCB08"/>
    <w:rsid w:val="96FF5562"/>
    <w:rsid w:val="9773DBDD"/>
    <w:rsid w:val="978F55F6"/>
    <w:rsid w:val="9797846B"/>
    <w:rsid w:val="97E2068B"/>
    <w:rsid w:val="9D2542B5"/>
    <w:rsid w:val="9D3B9D18"/>
    <w:rsid w:val="9D7DF734"/>
    <w:rsid w:val="9F7F0576"/>
    <w:rsid w:val="9FA75ACA"/>
    <w:rsid w:val="9FAFE42E"/>
    <w:rsid w:val="9FDF7BA1"/>
    <w:rsid w:val="9FFBC48B"/>
    <w:rsid w:val="A3FE66F6"/>
    <w:rsid w:val="A5D62093"/>
    <w:rsid w:val="A73D3B8D"/>
    <w:rsid w:val="A8E9F2D1"/>
    <w:rsid w:val="AD6F37C2"/>
    <w:rsid w:val="ADF63CF3"/>
    <w:rsid w:val="AFBDA6FB"/>
    <w:rsid w:val="B1FEA425"/>
    <w:rsid w:val="B2FF27E2"/>
    <w:rsid w:val="B5FD9FE9"/>
    <w:rsid w:val="B6285B18"/>
    <w:rsid w:val="B6DE9C80"/>
    <w:rsid w:val="B777E736"/>
    <w:rsid w:val="B7AFFCC8"/>
    <w:rsid w:val="B7FD06A6"/>
    <w:rsid w:val="B9FD9FD2"/>
    <w:rsid w:val="BAFC9A24"/>
    <w:rsid w:val="BB0FD802"/>
    <w:rsid w:val="BB558859"/>
    <w:rsid w:val="BB7AD31B"/>
    <w:rsid w:val="BBF78B4A"/>
    <w:rsid w:val="BBFD6B45"/>
    <w:rsid w:val="BBFFE8CF"/>
    <w:rsid w:val="BCFEC589"/>
    <w:rsid w:val="BCFFFF2C"/>
    <w:rsid w:val="BDFFD4A9"/>
    <w:rsid w:val="BED6FBE1"/>
    <w:rsid w:val="BF3A54CE"/>
    <w:rsid w:val="BFBAADD9"/>
    <w:rsid w:val="BFDDE291"/>
    <w:rsid w:val="BFDFFF82"/>
    <w:rsid w:val="BFE6FE98"/>
    <w:rsid w:val="BFF794F2"/>
    <w:rsid w:val="BFFE1F7E"/>
    <w:rsid w:val="BFFEE13E"/>
    <w:rsid w:val="C53CB78A"/>
    <w:rsid w:val="C7DBD2C6"/>
    <w:rsid w:val="C7F4B420"/>
    <w:rsid w:val="CAFA09C1"/>
    <w:rsid w:val="CB5D1DB9"/>
    <w:rsid w:val="CBFB1265"/>
    <w:rsid w:val="CDFEE60D"/>
    <w:rsid w:val="CEDF0907"/>
    <w:rsid w:val="CEFF8609"/>
    <w:rsid w:val="CF3F4E3A"/>
    <w:rsid w:val="CF67AE8C"/>
    <w:rsid w:val="CFBD5CD8"/>
    <w:rsid w:val="CFE54BBE"/>
    <w:rsid w:val="CFFEA906"/>
    <w:rsid w:val="D1DFD08C"/>
    <w:rsid w:val="D1EFAC3C"/>
    <w:rsid w:val="D1EFCAFC"/>
    <w:rsid w:val="D2ED8810"/>
    <w:rsid w:val="D337CB24"/>
    <w:rsid w:val="D35E3976"/>
    <w:rsid w:val="D3F72AC4"/>
    <w:rsid w:val="D55FD3BA"/>
    <w:rsid w:val="D6BCF8D9"/>
    <w:rsid w:val="D7DD9528"/>
    <w:rsid w:val="D94FB277"/>
    <w:rsid w:val="D9C497A9"/>
    <w:rsid w:val="DAF3B4A0"/>
    <w:rsid w:val="DB5DD913"/>
    <w:rsid w:val="DB6BD803"/>
    <w:rsid w:val="DB9FFD6C"/>
    <w:rsid w:val="DBBEB727"/>
    <w:rsid w:val="DD7709AF"/>
    <w:rsid w:val="DD7E6DB2"/>
    <w:rsid w:val="DD9CE73B"/>
    <w:rsid w:val="DDE728AD"/>
    <w:rsid w:val="DDFDC7A3"/>
    <w:rsid w:val="DE7F8CD4"/>
    <w:rsid w:val="DEEFAC4C"/>
    <w:rsid w:val="DEFDB146"/>
    <w:rsid w:val="DF7371D3"/>
    <w:rsid w:val="DF770104"/>
    <w:rsid w:val="DF7F4D44"/>
    <w:rsid w:val="DF8D5787"/>
    <w:rsid w:val="DFFBE060"/>
    <w:rsid w:val="DFFE4825"/>
    <w:rsid w:val="DFFEB234"/>
    <w:rsid w:val="DFFF5704"/>
    <w:rsid w:val="DFFF57BB"/>
    <w:rsid w:val="E3AF177C"/>
    <w:rsid w:val="E3BF8F52"/>
    <w:rsid w:val="E5F2E867"/>
    <w:rsid w:val="E777DCF1"/>
    <w:rsid w:val="E7B68C4E"/>
    <w:rsid w:val="E7FFF493"/>
    <w:rsid w:val="E96381CC"/>
    <w:rsid w:val="E9FB00A2"/>
    <w:rsid w:val="E9FBBF62"/>
    <w:rsid w:val="E9FEB7F6"/>
    <w:rsid w:val="EB66F10D"/>
    <w:rsid w:val="EB7FD02A"/>
    <w:rsid w:val="EBBEB6D3"/>
    <w:rsid w:val="EBED0602"/>
    <w:rsid w:val="ED43B5D8"/>
    <w:rsid w:val="EDCE6584"/>
    <w:rsid w:val="EDD74A7D"/>
    <w:rsid w:val="EDF73A61"/>
    <w:rsid w:val="EDFBF2AB"/>
    <w:rsid w:val="EEB30837"/>
    <w:rsid w:val="EEDB113C"/>
    <w:rsid w:val="EEEFE2A8"/>
    <w:rsid w:val="EEFE5018"/>
    <w:rsid w:val="EEFFDCD0"/>
    <w:rsid w:val="EF5BB272"/>
    <w:rsid w:val="EF7A3043"/>
    <w:rsid w:val="EFA4B9C7"/>
    <w:rsid w:val="EFA717E1"/>
    <w:rsid w:val="EFB68800"/>
    <w:rsid w:val="EFB9C92D"/>
    <w:rsid w:val="EFBE2AA4"/>
    <w:rsid w:val="EFDD1914"/>
    <w:rsid w:val="EFDF58B9"/>
    <w:rsid w:val="F0EF9027"/>
    <w:rsid w:val="F0FDE625"/>
    <w:rsid w:val="F1FFCC3D"/>
    <w:rsid w:val="F397BE77"/>
    <w:rsid w:val="F3BF9D4B"/>
    <w:rsid w:val="F3F24027"/>
    <w:rsid w:val="F4AA14E4"/>
    <w:rsid w:val="F4BBB836"/>
    <w:rsid w:val="F4DF09A2"/>
    <w:rsid w:val="F5FF3FE1"/>
    <w:rsid w:val="F6BB3DE2"/>
    <w:rsid w:val="F6D8DB16"/>
    <w:rsid w:val="F6FC637A"/>
    <w:rsid w:val="F73A1216"/>
    <w:rsid w:val="F7AFAD9C"/>
    <w:rsid w:val="F7B7B651"/>
    <w:rsid w:val="F7B9C999"/>
    <w:rsid w:val="F7CD4B25"/>
    <w:rsid w:val="F7FDB9F1"/>
    <w:rsid w:val="F7FFA36D"/>
    <w:rsid w:val="F8DD71AC"/>
    <w:rsid w:val="F8F72920"/>
    <w:rsid w:val="F8F75C94"/>
    <w:rsid w:val="F99D8435"/>
    <w:rsid w:val="F9FCEDA1"/>
    <w:rsid w:val="F9FF621B"/>
    <w:rsid w:val="FAF58C08"/>
    <w:rsid w:val="FAF65EFC"/>
    <w:rsid w:val="FB5F69C0"/>
    <w:rsid w:val="FBDF3B19"/>
    <w:rsid w:val="FBEEA9C8"/>
    <w:rsid w:val="FBF94AE7"/>
    <w:rsid w:val="FBFE3465"/>
    <w:rsid w:val="FBFF8618"/>
    <w:rsid w:val="FC7F3AAF"/>
    <w:rsid w:val="FCEFF287"/>
    <w:rsid w:val="FD390D6A"/>
    <w:rsid w:val="FD3D821F"/>
    <w:rsid w:val="FD7939E4"/>
    <w:rsid w:val="FD9FB9B0"/>
    <w:rsid w:val="FDA5430F"/>
    <w:rsid w:val="FDAE6296"/>
    <w:rsid w:val="FDAF9FE2"/>
    <w:rsid w:val="FDB9B600"/>
    <w:rsid w:val="FDBF00C1"/>
    <w:rsid w:val="FDC50AEA"/>
    <w:rsid w:val="FDFBCCE0"/>
    <w:rsid w:val="FDFE0097"/>
    <w:rsid w:val="FE312635"/>
    <w:rsid w:val="FE3F36CD"/>
    <w:rsid w:val="FE793777"/>
    <w:rsid w:val="FE7F50C0"/>
    <w:rsid w:val="FEAFF625"/>
    <w:rsid w:val="FEF3334E"/>
    <w:rsid w:val="FEFB2F1C"/>
    <w:rsid w:val="FEFFAE30"/>
    <w:rsid w:val="FF4798C1"/>
    <w:rsid w:val="FF66BFA1"/>
    <w:rsid w:val="FF778269"/>
    <w:rsid w:val="FF7B1AAB"/>
    <w:rsid w:val="FF8F8BBE"/>
    <w:rsid w:val="FFAE788E"/>
    <w:rsid w:val="FFAF6148"/>
    <w:rsid w:val="FFB3F919"/>
    <w:rsid w:val="FFB99D36"/>
    <w:rsid w:val="FFBAD441"/>
    <w:rsid w:val="FFBBD085"/>
    <w:rsid w:val="FFBFF1AD"/>
    <w:rsid w:val="FFC3927E"/>
    <w:rsid w:val="FFCFDAA9"/>
    <w:rsid w:val="FFE77E28"/>
    <w:rsid w:val="FFF36B46"/>
    <w:rsid w:val="FFF6950D"/>
    <w:rsid w:val="FFFE34D2"/>
    <w:rsid w:val="FFFF5228"/>
    <w:rsid w:val="FFFFD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jc w:val="center"/>
    </w:pPr>
    <w:rPr>
      <w:rFonts w:ascii="方正小标宋_GBK" w:hAnsi="Times New Roman" w:eastAsia="方正小标宋_GBK"/>
      <w:b/>
      <w:bCs/>
      <w:sz w:val="36"/>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spacing w:line="240" w:lineRule="atLeast"/>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styleId="7">
    <w:name w:val="footnote text"/>
    <w:basedOn w:val="1"/>
    <w:qFormat/>
    <w:uiPriority w:val="0"/>
    <w:pPr>
      <w:snapToGrid w:val="0"/>
      <w:jc w:val="left"/>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Emphasis"/>
    <w:basedOn w:val="11"/>
    <w:qFormat/>
    <w:uiPriority w:val="0"/>
    <w:rPr>
      <w:i/>
    </w:rPr>
  </w:style>
  <w:style w:type="character" w:styleId="14">
    <w:name w:val="Hyperlink"/>
    <w:basedOn w:val="11"/>
    <w:qFormat/>
    <w:uiPriority w:val="0"/>
    <w:rPr>
      <w:color w:val="0000FF"/>
      <w:u w:val="single"/>
    </w:rPr>
  </w:style>
  <w:style w:type="character" w:styleId="15">
    <w:name w:val="annotation reference"/>
    <w:basedOn w:val="11"/>
    <w:qFormat/>
    <w:uiPriority w:val="0"/>
    <w:rPr>
      <w:sz w:val="21"/>
      <w:szCs w:val="21"/>
    </w:rPr>
  </w:style>
  <w:style w:type="character" w:styleId="16">
    <w:name w:val="footnote reference"/>
    <w:basedOn w:val="11"/>
    <w:qFormat/>
    <w:uiPriority w:val="0"/>
    <w:rPr>
      <w:vertAlign w:val="superscript"/>
    </w:rPr>
  </w:style>
  <w:style w:type="paragraph" w:customStyle="1" w:styleId="17">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18">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19">
    <w:name w:val="正文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
    <w:name w:val="修订1"/>
    <w:hidden/>
    <w:semiHidden/>
    <w:qFormat/>
    <w:uiPriority w:val="99"/>
    <w:rPr>
      <w:rFonts w:asciiTheme="minorHAnsi" w:hAnsiTheme="minorHAnsi" w:eastAsiaTheme="minorEastAsia" w:cstheme="minorBidi"/>
      <w:kern w:val="2"/>
      <w:sz w:val="21"/>
      <w:szCs w:val="24"/>
      <w:lang w:val="en-US" w:eastAsia="zh-CN" w:bidi="ar-SA"/>
    </w:rPr>
  </w:style>
  <w:style w:type="table" w:customStyle="1" w:styleId="21">
    <w:name w:val="网格型1"/>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
    <w:name w:val="Revision"/>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23">
    <w:name w:val="表格"/>
    <w:qFormat/>
    <w:uiPriority w:val="0"/>
    <w:rPr>
      <w:rFonts w:ascii="Calibri" w:hAnsi="Calibri" w:eastAsia="宋体" w:cs="Times New Roman"/>
      <w:kern w:val="2"/>
      <w:sz w:val="21"/>
      <w:szCs w:val="28"/>
      <w:lang w:val="en-US" w:eastAsia="zh-CN" w:bidi="ar-SA"/>
    </w:rPr>
  </w:style>
  <w:style w:type="character" w:customStyle="1" w:styleId="24">
    <w:name w:val="15"/>
    <w:qFormat/>
    <w:uiPriority w:val="0"/>
    <w:rPr>
      <w:rFonts w:hint="default" w:ascii="Times New Roman" w:hAnsi="Times New Roman" w:cs="Times New Roman"/>
    </w:rPr>
  </w:style>
  <w:style w:type="paragraph" w:customStyle="1" w:styleId="25">
    <w:name w:val="列项——（一级）"/>
    <w:qFormat/>
    <w:uiPriority w:val="0"/>
    <w:pPr>
      <w:widowControl w:val="0"/>
      <w:numPr>
        <w:ilvl w:val="0"/>
        <w:numId w:val="1"/>
      </w:numPr>
      <w:jc w:val="both"/>
    </w:pPr>
    <w:rPr>
      <w:rFonts w:ascii="宋体" w:hAnsi="Times New Roman" w:eastAsia="宋体" w:cs="Times New Roman"/>
      <w:sz w:val="21"/>
      <w:lang w:val="en-US" w:eastAsia="zh-CN" w:bidi="ar-SA"/>
    </w:rPr>
  </w:style>
  <w:style w:type="paragraph" w:customStyle="1" w:styleId="26">
    <w:name w:val="列项●（二级）"/>
    <w:qFormat/>
    <w:uiPriority w:val="0"/>
    <w:pPr>
      <w:numPr>
        <w:ilvl w:val="1"/>
        <w:numId w:val="1"/>
      </w:numPr>
      <w:tabs>
        <w:tab w:val="left" w:pos="840"/>
      </w:tabs>
      <w:jc w:val="both"/>
    </w:pPr>
    <w:rPr>
      <w:rFonts w:ascii="宋体" w:hAnsi="Times New Roman" w:eastAsia="宋体" w:cs="Times New Roman"/>
      <w:sz w:val="21"/>
      <w:lang w:val="en-US" w:eastAsia="zh-CN" w:bidi="ar-SA"/>
    </w:rPr>
  </w:style>
  <w:style w:type="paragraph" w:customStyle="1" w:styleId="27">
    <w:name w:val="字母编号列项（一级）"/>
    <w:qFormat/>
    <w:uiPriority w:val="0"/>
    <w:pPr>
      <w:numPr>
        <w:ilvl w:val="0"/>
        <w:numId w:val="2"/>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96D769-026D-46D1-B19D-71B3243F7D41}">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14747</Words>
  <Characters>15600</Characters>
  <Lines>108</Lines>
  <Paragraphs>30</Paragraphs>
  <TotalTime>1</TotalTime>
  <ScaleCrop>false</ScaleCrop>
  <LinksUpToDate>false</LinksUpToDate>
  <CharactersWithSpaces>16018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2023-07-24T03:04:00Z</dcterms:created>
  <dc:creator>chengzi</dc:creator>
  <cp:lastModifiedBy> </cp:lastModifiedBy>
  <dcterms:modified xsi:type="dcterms:W3CDTF">2023-09-20T01:42:07Z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084ACDB3D8A049859B496ED55BF03F81</vt:lpwstr>
  </property>
</Properties>
</file>