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hd w:val="clear" w:color="auto" w:fill="FFFFFF"/>
        <w:overflowPunct w:val="0"/>
        <w:autoSpaceDE w:val="0"/>
        <w:autoSpaceDN w:val="0"/>
        <w:adjustRightInd w:val="0"/>
        <w:snapToGrid w:val="0"/>
        <w:spacing w:line="560" w:lineRule="exact"/>
        <w:jc w:val="left"/>
        <w:rPr>
          <w:rFonts w:eastAsia="方正黑体_GBK"/>
          <w:snapToGrid w:val="0"/>
          <w:kern w:val="0"/>
          <w:sz w:val="32"/>
          <w:szCs w:val="32"/>
        </w:rPr>
      </w:pPr>
      <w:r>
        <w:rPr>
          <w:rFonts w:eastAsia="方正黑体_GBK"/>
          <w:snapToGrid w:val="0"/>
          <w:kern w:val="0"/>
          <w:sz w:val="32"/>
          <w:szCs w:val="32"/>
        </w:rPr>
        <w:t xml:space="preserve">附件1        </w:t>
      </w:r>
    </w:p>
    <w:p>
      <w:pPr>
        <w:shd w:val="clear" w:color="auto" w:fill="FFFFFF"/>
        <w:overflowPunct w:val="0"/>
        <w:autoSpaceDE w:val="0"/>
        <w:autoSpaceDN w:val="0"/>
        <w:adjustRightInd w:val="0"/>
        <w:snapToGrid w:val="0"/>
        <w:spacing w:line="560" w:lineRule="exact"/>
        <w:jc w:val="center"/>
        <w:rPr>
          <w:rFonts w:eastAsia="方正小标宋简体"/>
          <w:snapToGrid w:val="0"/>
          <w:kern w:val="0"/>
          <w:sz w:val="44"/>
          <w:szCs w:val="44"/>
        </w:rPr>
      </w:pPr>
    </w:p>
    <w:p>
      <w:pPr>
        <w:shd w:val="clear" w:color="auto" w:fill="FFFFFF"/>
        <w:overflowPunct w:val="0"/>
        <w:autoSpaceDE w:val="0"/>
        <w:autoSpaceDN w:val="0"/>
        <w:adjustRightInd w:val="0"/>
        <w:snapToGrid w:val="0"/>
        <w:spacing w:line="560" w:lineRule="exact"/>
        <w:jc w:val="center"/>
        <w:rPr>
          <w:rFonts w:hint="eastAsia" w:ascii="方正小标宋_GBK" w:eastAsia="方正小标宋_GBK"/>
          <w:snapToGrid w:val="0"/>
          <w:kern w:val="0"/>
          <w:sz w:val="44"/>
          <w:szCs w:val="44"/>
        </w:rPr>
      </w:pPr>
      <w:r>
        <w:rPr>
          <w:rFonts w:hint="eastAsia" w:ascii="方正小标宋_GBK" w:eastAsia="方正小标宋_GBK"/>
          <w:snapToGrid w:val="0"/>
          <w:kern w:val="0"/>
          <w:sz w:val="44"/>
          <w:szCs w:val="44"/>
        </w:rPr>
        <w:t>主要单位职责</w:t>
      </w:r>
    </w:p>
    <w:p>
      <w:pPr>
        <w:shd w:val="clear" w:color="auto" w:fill="FFFFFF"/>
        <w:overflowPunct w:val="0"/>
        <w:autoSpaceDE w:val="0"/>
        <w:autoSpaceDN w:val="0"/>
        <w:adjustRightInd w:val="0"/>
        <w:snapToGrid w:val="0"/>
        <w:spacing w:line="560" w:lineRule="exact"/>
        <w:jc w:val="center"/>
        <w:rPr>
          <w:rFonts w:eastAsia="仿宋_GB2312"/>
          <w:snapToGrid w:val="0"/>
          <w:kern w:val="0"/>
          <w:sz w:val="44"/>
          <w:szCs w:val="44"/>
        </w:rPr>
      </w:pPr>
    </w:p>
    <w:p>
      <w:pPr>
        <w:shd w:val="clear" w:color="auto" w:fill="FFFFFF"/>
        <w:overflowPunct w:val="0"/>
        <w:autoSpaceDE w:val="0"/>
        <w:autoSpaceDN w:val="0"/>
        <w:adjustRightInd w:val="0"/>
        <w:snapToGrid w:val="0"/>
        <w:spacing w:line="570" w:lineRule="exact"/>
        <w:ind w:firstLine="640" w:firstLineChars="200"/>
        <w:rPr>
          <w:rFonts w:hint="eastAsia" w:ascii="方正仿宋_GBK" w:eastAsia="方正仿宋_GBK"/>
          <w:snapToGrid w:val="0"/>
          <w:kern w:val="0"/>
          <w:sz w:val="32"/>
          <w:szCs w:val="32"/>
        </w:rPr>
      </w:pPr>
      <w:r>
        <w:rPr>
          <w:rFonts w:eastAsia="方正楷体_GBK"/>
          <w:snapToGrid w:val="0"/>
          <w:kern w:val="0"/>
          <w:sz w:val="32"/>
          <w:szCs w:val="32"/>
        </w:rPr>
        <w:t>1. 各辖市</w:t>
      </w:r>
      <w:r>
        <w:rPr>
          <w:rFonts w:hint="eastAsia" w:eastAsia="方正楷体_GBK"/>
          <w:snapToGrid w:val="0"/>
          <w:kern w:val="0"/>
          <w:sz w:val="32"/>
          <w:szCs w:val="32"/>
        </w:rPr>
        <w:t>、</w:t>
      </w:r>
      <w:r>
        <w:rPr>
          <w:rFonts w:eastAsia="方正楷体_GBK"/>
          <w:snapToGrid w:val="0"/>
          <w:kern w:val="0"/>
          <w:sz w:val="32"/>
          <w:szCs w:val="32"/>
        </w:rPr>
        <w:t>区</w:t>
      </w:r>
      <w:r>
        <w:rPr>
          <w:rFonts w:hint="eastAsia" w:eastAsia="方正楷体_GBK"/>
          <w:snapToGrid w:val="0"/>
          <w:kern w:val="0"/>
          <w:sz w:val="32"/>
          <w:szCs w:val="32"/>
        </w:rPr>
        <w:t>和</w:t>
      </w:r>
      <w:r>
        <w:rPr>
          <w:rFonts w:eastAsia="方正楷体_GBK"/>
          <w:snapToGrid w:val="0"/>
          <w:kern w:val="0"/>
          <w:sz w:val="32"/>
          <w:szCs w:val="32"/>
        </w:rPr>
        <w:t>常州经开区：</w:t>
      </w:r>
      <w:r>
        <w:rPr>
          <w:rFonts w:hint="eastAsia" w:ascii="方正仿宋_GBK" w:eastAsia="方正仿宋_GBK"/>
          <w:snapToGrid w:val="0"/>
          <w:kern w:val="0"/>
          <w:sz w:val="32"/>
          <w:szCs w:val="32"/>
        </w:rPr>
        <w:t>武进区、新北区等围绕整车企业开展链式招商和综合服务，</w:t>
      </w:r>
      <w:r>
        <w:rPr>
          <w:rFonts w:hint="eastAsia" w:ascii="方正仿宋_GBK" w:hAnsi="仿宋_GB2312" w:eastAsia="方正仿宋_GBK"/>
          <w:snapToGrid w:val="0"/>
          <w:kern w:val="0"/>
          <w:sz w:val="32"/>
          <w:szCs w:val="32"/>
        </w:rPr>
        <w:t>加大产业支持力度</w:t>
      </w:r>
      <w:r>
        <w:rPr>
          <w:rFonts w:hint="eastAsia" w:ascii="方正仿宋_GBK" w:eastAsia="方正仿宋_GBK"/>
          <w:snapToGrid w:val="0"/>
          <w:kern w:val="0"/>
          <w:sz w:val="32"/>
          <w:szCs w:val="32"/>
        </w:rPr>
        <w:t>；其他辖市、区结合实际围绕关键零部件有选择地开展招商和综合服务；常州经开区负责协调中天钢铁北厂区的规划制定，推进新能源汽车零部件及专题园区的招商。</w:t>
      </w:r>
    </w:p>
    <w:p>
      <w:pPr>
        <w:shd w:val="clear" w:color="auto" w:fill="FFFFFF"/>
        <w:overflowPunct w:val="0"/>
        <w:autoSpaceDE w:val="0"/>
        <w:autoSpaceDN w:val="0"/>
        <w:adjustRightInd w:val="0"/>
        <w:snapToGrid w:val="0"/>
        <w:spacing w:line="570" w:lineRule="exact"/>
        <w:ind w:firstLine="640" w:firstLineChars="200"/>
        <w:rPr>
          <w:rFonts w:hint="eastAsia" w:ascii="方正仿宋_GBK" w:eastAsia="方正仿宋_GBK"/>
          <w:snapToGrid w:val="0"/>
          <w:kern w:val="0"/>
          <w:sz w:val="32"/>
          <w:szCs w:val="32"/>
        </w:rPr>
      </w:pPr>
      <w:r>
        <w:rPr>
          <w:rFonts w:hint="eastAsia" w:eastAsia="方正楷体_GBK"/>
          <w:snapToGrid w:val="0"/>
          <w:kern w:val="0"/>
          <w:sz w:val="32"/>
          <w:szCs w:val="32"/>
        </w:rPr>
        <w:t>2. 市发改委：</w:t>
      </w:r>
      <w:r>
        <w:rPr>
          <w:rFonts w:hint="eastAsia" w:ascii="方正仿宋_GBK" w:eastAsia="方正仿宋_GBK"/>
          <w:snapToGrid w:val="0"/>
          <w:kern w:val="0"/>
          <w:sz w:val="32"/>
          <w:szCs w:val="32"/>
        </w:rPr>
        <w:t>负责统筹产业布局谋划，协调知名新能源车企与常州城市品牌的融合，按职责分工推进创新平台、载体建设等。</w:t>
      </w:r>
    </w:p>
    <w:p>
      <w:pPr>
        <w:shd w:val="clear" w:color="auto" w:fill="FFFFFF"/>
        <w:overflowPunct w:val="0"/>
        <w:autoSpaceDE w:val="0"/>
        <w:autoSpaceDN w:val="0"/>
        <w:adjustRightInd w:val="0"/>
        <w:snapToGrid w:val="0"/>
        <w:spacing w:line="570" w:lineRule="exact"/>
        <w:ind w:firstLine="640" w:firstLineChars="200"/>
        <w:rPr>
          <w:rFonts w:hint="eastAsia" w:ascii="方正仿宋_GBK" w:eastAsia="方正仿宋_GBK"/>
          <w:b/>
          <w:snapToGrid w:val="0"/>
          <w:kern w:val="0"/>
          <w:sz w:val="32"/>
          <w:szCs w:val="32"/>
        </w:rPr>
      </w:pPr>
      <w:r>
        <w:rPr>
          <w:rFonts w:hint="eastAsia" w:eastAsia="方正楷体_GBK"/>
          <w:snapToGrid w:val="0"/>
          <w:kern w:val="0"/>
          <w:sz w:val="32"/>
          <w:szCs w:val="32"/>
        </w:rPr>
        <w:t>3. 市科技局：</w:t>
      </w:r>
      <w:r>
        <w:rPr>
          <w:rFonts w:hint="eastAsia" w:ascii="方正仿宋_GBK" w:eastAsia="方正仿宋_GBK"/>
          <w:snapToGrid w:val="0"/>
          <w:kern w:val="0"/>
          <w:sz w:val="32"/>
          <w:szCs w:val="32"/>
        </w:rPr>
        <w:t>负责编制新能源汽车关键零部件产业链创新资源索引，组织推进产业关键核心技术攻关，按职责分工推进创新平台、载体建设等。</w:t>
      </w:r>
    </w:p>
    <w:p>
      <w:pPr>
        <w:shd w:val="clear" w:color="auto" w:fill="FFFFFF"/>
        <w:overflowPunct w:val="0"/>
        <w:autoSpaceDE w:val="0"/>
        <w:autoSpaceDN w:val="0"/>
        <w:adjustRightInd w:val="0"/>
        <w:snapToGrid w:val="0"/>
        <w:spacing w:line="570" w:lineRule="exact"/>
        <w:ind w:firstLine="640" w:firstLineChars="200"/>
        <w:rPr>
          <w:rFonts w:hint="eastAsia" w:ascii="方正仿宋_GBK" w:eastAsia="方正仿宋_GBK"/>
          <w:snapToGrid w:val="0"/>
          <w:kern w:val="0"/>
          <w:sz w:val="32"/>
          <w:szCs w:val="32"/>
        </w:rPr>
      </w:pPr>
      <w:r>
        <w:rPr>
          <w:rFonts w:hint="eastAsia" w:eastAsia="方正楷体_GBK"/>
          <w:snapToGrid w:val="0"/>
          <w:kern w:val="0"/>
          <w:sz w:val="32"/>
          <w:szCs w:val="32"/>
        </w:rPr>
        <w:t>4. 市工信局：</w:t>
      </w:r>
      <w:r>
        <w:rPr>
          <w:rFonts w:hint="eastAsia" w:ascii="方正仿宋_GBK" w:eastAsia="方正仿宋_GBK"/>
          <w:snapToGrid w:val="0"/>
          <w:kern w:val="0"/>
          <w:sz w:val="32"/>
          <w:szCs w:val="32"/>
        </w:rPr>
        <w:t>负责牵头加快新能源汽车零部件产业生态建设，按职责分工推进创新载体建设、技改投资、智能化改造数字化转型、专精特新培育等，做好</w:t>
      </w:r>
      <w:r>
        <w:rPr>
          <w:rFonts w:hint="eastAsia" w:ascii="方正仿宋_GBK" w:hAnsi="仿宋_GB2312" w:eastAsia="方正仿宋_GBK"/>
          <w:snapToGrid w:val="0"/>
          <w:kern w:val="0"/>
          <w:sz w:val="32"/>
          <w:szCs w:val="32"/>
        </w:rPr>
        <w:t>产业生态建设的</w:t>
      </w:r>
      <w:r>
        <w:rPr>
          <w:rFonts w:hint="eastAsia" w:ascii="方正仿宋_GBK" w:eastAsia="方正仿宋_GBK"/>
          <w:snapToGrid w:val="0"/>
          <w:kern w:val="0"/>
          <w:sz w:val="32"/>
          <w:szCs w:val="32"/>
        </w:rPr>
        <w:t>沟通联络协调。</w:t>
      </w:r>
    </w:p>
    <w:p>
      <w:pPr>
        <w:shd w:val="clear" w:color="auto" w:fill="FFFFFF"/>
        <w:overflowPunct w:val="0"/>
        <w:autoSpaceDE w:val="0"/>
        <w:autoSpaceDN w:val="0"/>
        <w:adjustRightInd w:val="0"/>
        <w:snapToGrid w:val="0"/>
        <w:spacing w:line="570" w:lineRule="exact"/>
        <w:ind w:firstLine="640" w:firstLineChars="200"/>
        <w:rPr>
          <w:rFonts w:hint="eastAsia" w:ascii="方正仿宋_GBK" w:eastAsia="方正仿宋_GBK"/>
          <w:snapToGrid w:val="0"/>
          <w:kern w:val="0"/>
          <w:sz w:val="32"/>
          <w:szCs w:val="32"/>
        </w:rPr>
      </w:pPr>
      <w:r>
        <w:rPr>
          <w:rFonts w:hint="eastAsia" w:eastAsia="方正楷体_GBK"/>
          <w:snapToGrid w:val="0"/>
          <w:kern w:val="0"/>
          <w:sz w:val="32"/>
          <w:szCs w:val="32"/>
        </w:rPr>
        <w:t>5. 市财政局：</w:t>
      </w:r>
      <w:r>
        <w:rPr>
          <w:rFonts w:hint="eastAsia" w:ascii="方正仿宋_GBK" w:eastAsia="方正仿宋_GBK"/>
          <w:snapToGrid w:val="0"/>
          <w:kern w:val="0"/>
          <w:sz w:val="32"/>
          <w:szCs w:val="32"/>
        </w:rPr>
        <w:t>负责统筹各级各类财政资金，集成落实各项扶持政策，倾斜支持新能源汽车关键零部件产业发展；配合相关部门研究创新支持新能源汽车产业发展政策措施；发挥龙城科创基金等政府投资基金引导作用，设立新能源产业投资基金，撬动社会资本定向支持新能源汽车产业高质量发展。</w:t>
      </w:r>
    </w:p>
    <w:p>
      <w:pPr>
        <w:shd w:val="clear" w:color="auto" w:fill="FFFFFF"/>
        <w:overflowPunct w:val="0"/>
        <w:autoSpaceDE w:val="0"/>
        <w:autoSpaceDN w:val="0"/>
        <w:adjustRightInd w:val="0"/>
        <w:snapToGrid w:val="0"/>
        <w:spacing w:line="570" w:lineRule="exact"/>
        <w:ind w:firstLine="640" w:firstLineChars="200"/>
        <w:rPr>
          <w:rFonts w:hint="eastAsia" w:ascii="方正仿宋_GBK" w:eastAsia="方正仿宋_GBK"/>
          <w:snapToGrid w:val="0"/>
          <w:kern w:val="0"/>
          <w:sz w:val="32"/>
          <w:szCs w:val="32"/>
          <w:u w:val="single"/>
        </w:rPr>
      </w:pPr>
      <w:r>
        <w:rPr>
          <w:rFonts w:hint="eastAsia" w:eastAsia="方正楷体_GBK"/>
          <w:snapToGrid w:val="0"/>
          <w:kern w:val="0"/>
          <w:sz w:val="32"/>
          <w:szCs w:val="32"/>
        </w:rPr>
        <w:t>6. 市商务局：</w:t>
      </w:r>
      <w:r>
        <w:rPr>
          <w:rFonts w:hint="eastAsia" w:ascii="方正仿宋_GBK" w:eastAsia="方正仿宋_GBK"/>
          <w:snapToGrid w:val="0"/>
          <w:kern w:val="0"/>
          <w:sz w:val="32"/>
          <w:szCs w:val="32"/>
        </w:rPr>
        <w:t>负责编制新能源汽车零部件产业招商名录和招引指南，梳理新能源汽车产业招商政策、汇总国内外市场开拓情况，组织协调产业链招商，分解各辖市区、常州经开区重点方向招商任务，建立健全新能源汽车关键零部件项目招引统计体系。</w:t>
      </w:r>
    </w:p>
    <w:p>
      <w:pPr>
        <w:shd w:val="clear" w:color="auto" w:fill="FFFFFF"/>
        <w:overflowPunct w:val="0"/>
        <w:autoSpaceDE w:val="0"/>
        <w:autoSpaceDN w:val="0"/>
        <w:adjustRightInd w:val="0"/>
        <w:snapToGrid w:val="0"/>
        <w:spacing w:line="570" w:lineRule="exact"/>
        <w:ind w:firstLine="640" w:firstLineChars="200"/>
        <w:rPr>
          <w:rFonts w:hint="eastAsia" w:ascii="方正仿宋_GBK" w:eastAsia="方正仿宋_GBK"/>
          <w:snapToGrid w:val="0"/>
          <w:kern w:val="0"/>
          <w:sz w:val="32"/>
          <w:szCs w:val="32"/>
          <w:u w:val="single"/>
        </w:rPr>
      </w:pPr>
      <w:r>
        <w:rPr>
          <w:rFonts w:hint="eastAsia" w:eastAsia="方正楷体_GBK"/>
          <w:snapToGrid w:val="0"/>
          <w:kern w:val="0"/>
          <w:sz w:val="32"/>
          <w:szCs w:val="32"/>
        </w:rPr>
        <w:t>7. 市市场监管局：</w:t>
      </w:r>
      <w:r>
        <w:rPr>
          <w:rFonts w:hint="eastAsia" w:ascii="方正仿宋_GBK" w:eastAsia="方正仿宋_GBK"/>
          <w:snapToGrid w:val="0"/>
          <w:kern w:val="0"/>
          <w:sz w:val="32"/>
          <w:szCs w:val="32"/>
        </w:rPr>
        <w:t>负责新能源汽车产业企业的标准、计量、合格评定（检验检测和认证认可）、专利提升，协调促进产业相关的质量基础设施一站式平台服务能力提升，帮助申报国家级、省级平台基地。</w:t>
      </w:r>
    </w:p>
    <w:p>
      <w:pPr>
        <w:shd w:val="clear" w:color="auto" w:fill="FFFFFF"/>
        <w:overflowPunct w:val="0"/>
        <w:autoSpaceDE w:val="0"/>
        <w:autoSpaceDN w:val="0"/>
        <w:adjustRightInd w:val="0"/>
        <w:snapToGrid w:val="0"/>
        <w:spacing w:line="570" w:lineRule="exact"/>
        <w:ind w:firstLine="640" w:firstLineChars="200"/>
        <w:rPr>
          <w:rFonts w:hint="eastAsia" w:ascii="方正仿宋_GBK" w:eastAsia="方正仿宋_GBK"/>
          <w:snapToGrid w:val="0"/>
          <w:kern w:val="0"/>
          <w:sz w:val="32"/>
          <w:szCs w:val="32"/>
          <w:u w:val="single"/>
        </w:rPr>
      </w:pPr>
      <w:r>
        <w:rPr>
          <w:rFonts w:hint="eastAsia" w:eastAsia="方正楷体_GBK"/>
          <w:snapToGrid w:val="0"/>
          <w:kern w:val="0"/>
          <w:sz w:val="32"/>
          <w:szCs w:val="32"/>
        </w:rPr>
        <w:t>8. 市地方金融监管局：</w:t>
      </w:r>
      <w:r>
        <w:rPr>
          <w:rFonts w:hint="eastAsia" w:ascii="方正仿宋_GBK" w:eastAsia="方正仿宋_GBK"/>
          <w:snapToGrid w:val="0"/>
          <w:kern w:val="0"/>
          <w:sz w:val="32"/>
          <w:szCs w:val="32"/>
        </w:rPr>
        <w:t>负责加大金融服务力度，协调推进企业股改上市、并购基金、信贷支持、供应链金融等工作；研究创新支持新能源汽车零部件产业并购政策措施。</w:t>
      </w:r>
    </w:p>
    <w:p>
      <w:pPr>
        <w:tabs>
          <w:tab w:val="left" w:pos="1215"/>
        </w:tabs>
        <w:overflowPunct w:val="0"/>
        <w:autoSpaceDE w:val="0"/>
        <w:autoSpaceDN w:val="0"/>
        <w:adjustRightInd w:val="0"/>
        <w:snapToGrid w:val="0"/>
        <w:spacing w:line="570" w:lineRule="exact"/>
        <w:ind w:firstLine="640" w:firstLineChars="200"/>
        <w:rPr>
          <w:rFonts w:hint="eastAsia" w:ascii="方正仿宋_GBK" w:eastAsia="方正仿宋_GBK"/>
          <w:snapToGrid w:val="0"/>
          <w:kern w:val="0"/>
          <w:szCs w:val="22"/>
        </w:rPr>
      </w:pPr>
      <w:r>
        <w:rPr>
          <w:rFonts w:hint="eastAsia" w:eastAsia="方正楷体_GBK"/>
          <w:snapToGrid w:val="0"/>
          <w:kern w:val="0"/>
          <w:sz w:val="32"/>
          <w:szCs w:val="32"/>
        </w:rPr>
        <w:t>9. 投资集团：</w:t>
      </w:r>
      <w:r>
        <w:rPr>
          <w:rFonts w:hint="eastAsia" w:ascii="方正仿宋_GBK" w:eastAsia="方正仿宋_GBK"/>
          <w:snapToGrid w:val="0"/>
          <w:kern w:val="0"/>
          <w:sz w:val="32"/>
          <w:szCs w:val="32"/>
        </w:rPr>
        <w:t>负责承担产业投资，设立产投基金，通过产业资源和金融赋能支持本土新能源汽车产业优势企业加快发展。</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1" w:fontKey="{BF526FBB-5DD7-4FAA-9D01-95CC4265F45F}"/>
  </w:font>
  <w:font w:name="方正黑体_GBK">
    <w:altName w:val="Arial Unicode MS"/>
    <w:panose1 w:val="03000509000000000000"/>
    <w:charset w:val="86"/>
    <w:family w:val="script"/>
    <w:pitch w:val="default"/>
    <w:sig w:usb0="00000000" w:usb1="00000000" w:usb2="00000010" w:usb3="00000000" w:csb0="00040000" w:csb1="00000000"/>
  </w:font>
  <w:font w:name="方正小标宋简体">
    <w:altName w:val="Arial Unicode MS"/>
    <w:panose1 w:val="02010601030101010101"/>
    <w:charset w:val="86"/>
    <w:family w:val="script"/>
    <w:pitch w:val="default"/>
    <w:sig w:usb0="00000000" w:usb1="00000000" w:usb2="00000010" w:usb3="00000000" w:csb0="00040000" w:csb1="00000000"/>
  </w:font>
  <w:font w:name="方正小标宋_GBK">
    <w:panose1 w:val="02000000000000000000"/>
    <w:charset w:val="86"/>
    <w:family w:val="script"/>
    <w:pitch w:val="default"/>
    <w:sig w:usb0="A00002BF" w:usb1="38CF7CFA" w:usb2="00082016" w:usb3="00000000" w:csb0="00040001" w:csb1="00000000"/>
    <w:embedRegular r:id="rId2" w:fontKey="{4B32E0B4-5B7D-43EA-98EF-3619E7103D22}"/>
  </w:font>
  <w:font w:name="仿宋_GB2312">
    <w:panose1 w:val="02010609030101010101"/>
    <w:charset w:val="86"/>
    <w:family w:val="modern"/>
    <w:pitch w:val="default"/>
    <w:sig w:usb0="00000001" w:usb1="080E0000" w:usb2="00000000" w:usb3="00000000" w:csb0="00040000" w:csb1="00000000"/>
    <w:embedRegular r:id="rId3" w:fontKey="{BC83FD23-EC6B-48A4-AD01-97420E6AB995}"/>
  </w:font>
  <w:font w:name="方正仿宋_GBK">
    <w:altName w:val="Arial Unicode MS"/>
    <w:panose1 w:val="03000509000000000000"/>
    <w:charset w:val="86"/>
    <w:family w:val="script"/>
    <w:pitch w:val="default"/>
    <w:sig w:usb0="00000000" w:usb1="00000000" w:usb2="00000010" w:usb3="00000000" w:csb0="00040000" w:csb1="00000000"/>
    <w:embedRegular r:id="rId4" w:fontKey="{3200CF02-F19B-444D-80FD-BEB3D420B27B}"/>
  </w:font>
  <w:font w:name="方正楷体_GBK">
    <w:altName w:val="Arial Unicode MS"/>
    <w:panose1 w:val="03000509000000000000"/>
    <w:charset w:val="86"/>
    <w:family w:val="script"/>
    <w:pitch w:val="default"/>
    <w:sig w:usb0="00000000" w:usb1="00000000" w:usb2="00000010" w:usb3="00000000" w:csb0="00040000" w:csb1="00000000"/>
    <w:embedRegular r:id="rId5" w:fontKey="{3C1852CB-B91B-4D24-843E-C2CD3202D55B}"/>
  </w:font>
  <w:font w:name="Arial Unicode MS">
    <w:panose1 w:val="020B0604020202020204"/>
    <w:charset w:val="86"/>
    <w:family w:val="auto"/>
    <w:pitch w:val="default"/>
    <w:sig w:usb0="FFFFFFFF" w:usb1="E9FFFFFF" w:usb2="0000003F" w:usb3="00000000" w:csb0="603F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A5NWQ2OTU1OGVjMGY1ODg1NzM3NDc2ZDYxMjhkZTIifQ=="/>
  </w:docVars>
  <w:rsids>
    <w:rsidRoot w:val="4E62071A"/>
    <w:rsid w:val="4E6207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784</Words>
  <Characters>793</Characters>
  <Lines>0</Lines>
  <Paragraphs>0</Paragraphs>
  <TotalTime>0</TotalTime>
  <ScaleCrop>false</ScaleCrop>
  <LinksUpToDate>false</LinksUpToDate>
  <CharactersWithSpaces>810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2023-08-14T01:46:00Z</dcterms:created>
  <dc:creator>未遂</dc:creator>
  <cp:lastModifiedBy>未遂</cp:lastModifiedBy>
  <dcterms:modified xsi:type="dcterms:W3CDTF">2023-08-14T01:46:05Z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E83567BFFB7C4BF98F0F5B22086B2A58_11</vt:lpwstr>
  </property>
</Properties>
</file>