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jc w:val="left"/>
        <w:rPr>
          <w:rFonts w:eastAsia="方正黑体_GBK"/>
          <w:snapToGrid w:val="0"/>
          <w:kern w:val="0"/>
          <w:sz w:val="32"/>
          <w:szCs w:val="32"/>
        </w:rPr>
      </w:pPr>
      <w:r>
        <w:rPr>
          <w:rFonts w:eastAsia="方正黑体_GBK"/>
          <w:snapToGrid w:val="0"/>
          <w:kern w:val="0"/>
          <w:sz w:val="32"/>
          <w:szCs w:val="32"/>
        </w:rPr>
        <w:t>附件</w:t>
      </w:r>
      <w:r>
        <w:rPr>
          <w:rFonts w:hint="eastAsia" w:eastAsia="方正黑体_GBK"/>
          <w:snapToGrid w:val="0"/>
          <w:kern w:val="0"/>
          <w:sz w:val="32"/>
          <w:szCs w:val="32"/>
        </w:rPr>
        <w:t>7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>
        <w:rPr>
          <w:rFonts w:ascii="方正小标宋_GBK" w:eastAsia="方正小标宋_GBK"/>
          <w:snapToGrid w:val="0"/>
          <w:kern w:val="0"/>
          <w:sz w:val="44"/>
          <w:szCs w:val="44"/>
        </w:rPr>
        <w:t>新能源汽车零部件产业</w:t>
      </w:r>
      <w:r>
        <w:rPr>
          <w:rFonts w:hint="eastAsia" w:ascii="方正小标宋_GBK" w:eastAsia="方正小标宋_GBK"/>
          <w:snapToGrid w:val="0"/>
          <w:kern w:val="0"/>
          <w:sz w:val="44"/>
          <w:szCs w:val="44"/>
        </w:rPr>
        <w:t>重点技术方向清单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684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567" w:hRule="atLeast"/>
          <w:jc w:val="center"/>
        </w:trPr>
        <w:tc>
          <w:tcPr>
            <w:tcW w:w="175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领  域</w:t>
            </w:r>
          </w:p>
        </w:tc>
        <w:tc>
          <w:tcPr>
            <w:tcW w:w="7200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重点技术方向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175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电池</w:t>
            </w:r>
          </w:p>
        </w:tc>
        <w:tc>
          <w:tcPr>
            <w:tcW w:w="7200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全气候/宽温域/高安全/长续航</w:t>
            </w:r>
            <w:r>
              <w:rPr>
                <w:rFonts w:hint="eastAsia" w:ascii="方正仿宋_GBK" w:hAnsi="Calibri" w:eastAsia="方正仿宋_GBK"/>
                <w:sz w:val="28"/>
                <w:szCs w:val="28"/>
              </w:rPr>
              <w:t>动力电池取得重大进展，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高比容量</w:t>
            </w: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及高安全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正极/负极材料</w:t>
            </w: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、耐高温隔膜材料、耐高压阻燃电解液、电池管理系统</w:t>
            </w:r>
            <w:r>
              <w:rPr>
                <w:rFonts w:eastAsia="方正仿宋_GBK"/>
                <w:bCs/>
                <w:sz w:val="28"/>
                <w:szCs w:val="28"/>
              </w:rPr>
              <w:t>（BMS）、</w:t>
            </w:r>
            <w:r>
              <w:rPr>
                <w:rFonts w:eastAsia="方正仿宋_GBK"/>
                <w:sz w:val="28"/>
                <w:szCs w:val="28"/>
              </w:rPr>
              <w:t>钠离子电池、固态锂离子等下一代电池前瞻技术取得重大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突破。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175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电机电控</w:t>
            </w:r>
          </w:p>
        </w:tc>
        <w:tc>
          <w:tcPr>
            <w:tcW w:w="7200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聚焦纯电驱动总成、插电式机电耦合总成等，电驱动系统集成度、驱动电机功率密度与效率、电机控制器功率密度提升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取得重大突破</w:t>
            </w: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175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智能网联</w:t>
            </w:r>
          </w:p>
        </w:tc>
        <w:tc>
          <w:tcPr>
            <w:tcW w:w="7200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以智能车辆、信息交互为重点，突破智能驾驶算法、车载操作系统、车载宽带网络、车载计算单元、域控制器、汽车环境感知、汽车线控底盘、车联网信息安全等关键核心技术。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75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Calibri" w:eastAsia="方正仿宋_GBK"/>
                <w:sz w:val="28"/>
                <w:szCs w:val="28"/>
              </w:rPr>
              <w:t>氢燃料电池</w:t>
            </w:r>
          </w:p>
        </w:tc>
        <w:tc>
          <w:tcPr>
            <w:tcW w:w="7200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重点推进燃料电池堆、关键材料（双极板、质子交换膜等）、空压机、氢气循环系统、高压储氢瓶等核心产品的技术攻关。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75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充换电设施</w:t>
            </w:r>
          </w:p>
        </w:tc>
        <w:tc>
          <w:tcPr>
            <w:tcW w:w="7200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在大功率快充、有序充电、分布式储能、V2G车网互动等创新技术产品方面实现显著提升。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75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制造装备</w:t>
            </w:r>
          </w:p>
        </w:tc>
        <w:tc>
          <w:tcPr>
            <w:tcW w:w="7200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Arial" w:eastAsia="方正仿宋_GBK" w:cs="Arial"/>
                <w:sz w:val="28"/>
                <w:szCs w:val="28"/>
                <w:shd w:val="clear" w:color="auto" w:fill="FFFFFF"/>
              </w:rPr>
              <w:t>在制造装备和生产线柔性化、信息化和智能化方向开展</w:t>
            </w: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技术攻关。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75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hAnsi="宋体" w:eastAsia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零部件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共性技术</w:t>
            </w:r>
          </w:p>
        </w:tc>
        <w:tc>
          <w:tcPr>
            <w:tcW w:w="7200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rPr>
                <w:rFonts w:hint="eastAsia" w:ascii="方正仿宋_GBK" w:hAnsi="宋体" w:eastAsia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重点突破关键基础材料、车规级芯片、轻量化设计、计算与控制基础平台等基础共性技术</w:t>
            </w:r>
            <w:r>
              <w:rPr>
                <w:rFonts w:hint="eastAsia" w:ascii="方正仿宋_GBK" w:hAnsi="Calibri" w:eastAsia="方正仿宋_GBK"/>
                <w:sz w:val="28"/>
                <w:szCs w:val="28"/>
              </w:rPr>
              <w:t>，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智能视觉、智能座舱等集成式功能模块实现智能化升级</w:t>
            </w:r>
            <w:r>
              <w:rPr>
                <w:rFonts w:hint="eastAsia" w:ascii="方正仿宋_GBK" w:hAnsi="宋体" w:eastAsia="方正仿宋_GBK"/>
                <w:bCs/>
                <w:sz w:val="28"/>
                <w:szCs w:val="28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E5E87EB-B310-4EED-B766-19A77E4EBDE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D3527F7-B5C2-40B4-BFCA-2DF01BF09239}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4FD178D6-B705-4AF3-B9A5-BF11B88F801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51D950DE-D997-4498-B0A0-2BD12A7302AE}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  <w:embedRegular r:id="rId5" w:fontKey="{7A5775C6-71B0-4D00-BDCD-F145677BA7EB}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6" w:fontKey="{9C169877-AA0A-427D-B7E0-3793DD26DEA2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5NWQ2OTU1OGVjMGY1ODg1NzM3NDc2ZDYxMjhkZTIifQ=="/>
  </w:docVars>
  <w:rsids>
    <w:rsidRoot w:val="57E8699C"/>
    <w:rsid w:val="57E8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485</Characters>
  <Lines>0</Lines>
  <Paragraphs>0</Paragraphs>
  <TotalTime>0</TotalTime>
  <ScaleCrop>false</ScaleCrop>
  <LinksUpToDate>false</LinksUpToDate>
  <CharactersWithSpaces>487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2023-08-14T01:47:00Z</dcterms:created>
  <dc:creator>未遂</dc:creator>
  <cp:lastModifiedBy>未遂</cp:lastModifiedBy>
  <dcterms:modified xsi:type="dcterms:W3CDTF">2023-08-14T01:47:04Z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63251341E3C14AEDA5844775C09426D4_11</vt:lpwstr>
  </property>
</Properties>
</file>