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rPr>
          <w:rFonts w:hint="eastAsia" w:ascii="仿宋" w:hAnsi="仿宋" w:eastAsia="仿宋"/>
          <w:color w:val="00000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《安阳市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汽车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加氢站管理暂行办法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》起草说明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为了保障氢燃料车辆的安全稳定运营，促进车用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氢能产业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健康发展，满足试点示范城市建设需要，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规范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安阳市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汽车加氢站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建设、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运营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和管理，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满足氢燃料车辆的需求，确保人民生命财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产安全，</w:t>
      </w:r>
      <w:r>
        <w:rPr>
          <w:rFonts w:hint="eastAsia" w:ascii="华文仿宋" w:hAnsi="华文仿宋" w:eastAsia="华文仿宋" w:cs="华文仿宋"/>
          <w:sz w:val="32"/>
          <w:szCs w:val="32"/>
        </w:rPr>
        <w:t>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住建局</w:t>
      </w:r>
      <w:r>
        <w:rPr>
          <w:rFonts w:hint="eastAsia" w:ascii="华文仿宋" w:hAnsi="华文仿宋" w:eastAsia="华文仿宋" w:cs="华文仿宋"/>
          <w:sz w:val="32"/>
          <w:szCs w:val="32"/>
        </w:rPr>
        <w:t>作为起草部门，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会同相关部门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依据相关法律法规和技术标准，</w:t>
      </w:r>
      <w:r>
        <w:rPr>
          <w:rFonts w:hint="eastAsia" w:ascii="华文仿宋" w:hAnsi="华文仿宋" w:eastAsia="华文仿宋" w:cs="华文仿宋"/>
          <w:sz w:val="32"/>
          <w:szCs w:val="32"/>
        </w:rPr>
        <w:t>借鉴国内其它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城市</w:t>
      </w:r>
      <w:r>
        <w:rPr>
          <w:rFonts w:hint="eastAsia" w:ascii="华文仿宋" w:hAnsi="华文仿宋" w:eastAsia="华文仿宋" w:cs="华文仿宋"/>
          <w:sz w:val="32"/>
          <w:szCs w:val="32"/>
        </w:rPr>
        <w:t>经验，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结合我市实际，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研究形成</w:t>
      </w:r>
      <w:r>
        <w:rPr>
          <w:rFonts w:hint="eastAsia" w:ascii="华文仿宋" w:hAnsi="华文仿宋" w:eastAsia="华文仿宋" w:cs="华文仿宋"/>
          <w:sz w:val="32"/>
          <w:szCs w:val="32"/>
        </w:rPr>
        <w:t>了《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安阳市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汽车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加氢站管理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暂行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办法（征求意见稿）</w:t>
      </w:r>
      <w:r>
        <w:rPr>
          <w:rFonts w:hint="eastAsia" w:ascii="华文仿宋" w:hAnsi="华文仿宋" w:eastAsia="华文仿宋" w:cs="华文仿宋"/>
          <w:sz w:val="32"/>
          <w:szCs w:val="32"/>
        </w:rPr>
        <w:t>》以下简称《办法（征求意见稿）》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，向社会公开征求意见。现就</w:t>
      </w:r>
      <w:r>
        <w:rPr>
          <w:rFonts w:hint="eastAsia" w:ascii="华文仿宋" w:hAnsi="华文仿宋" w:eastAsia="华文仿宋" w:cs="华文仿宋"/>
          <w:sz w:val="32"/>
          <w:szCs w:val="32"/>
        </w:rPr>
        <w:t>《办法（征求意见稿）》作如下说明：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  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起草的背景和过程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实现2030年碳达峰、2060年碳中和，推动国家燃料电池汽车产业持续健康、科学有序发展，国务院财政部、工业和信息化部、科技部、发展改革委、国家能源局开展了燃料电池汽车示范应用工作。第一批示范城市群北京、上海、广州，第二批河南、河北于2021年12月28日批复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目前国家还未出台汽车加氢站管理的上位法，国内其他城市在制定汽车加氢站管理法规中多数参照《城镇燃气管理条例》，少数参照《危险化学品建设项目安全监督管理办法》。在国家明确汽车加氢站管理上位法前，结合我市实际，此次采取了多数城市参照城镇燃气管理的模式，实施经营许可制度管理，颁发《燃气经营许可证》。国家出台汽车加氢站管理的上位法后，按照国家法规执行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起草依据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1.《城镇燃气管理条例》、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2.《危险化学品安全管理条例》、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3.《河南省城镇燃气管理办法》、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《办法（征求意见稿）》共有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sz w:val="32"/>
          <w:szCs w:val="32"/>
        </w:rPr>
        <w:t>章二十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九</w:t>
      </w:r>
      <w:r>
        <w:rPr>
          <w:rFonts w:hint="eastAsia" w:ascii="华文仿宋" w:hAnsi="华文仿宋" w:eastAsia="华文仿宋" w:cs="华文仿宋"/>
          <w:sz w:val="32"/>
          <w:szCs w:val="32"/>
        </w:rPr>
        <w:t>条。分别是总则、规划与建设、经营与服务、安全与应急、法律责任、附则。主要内容包括：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（一）总则，主要规定了《办法》的立法目的、依据、原则、适用范围，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对汽车加氢站和合建站进行解释，</w:t>
      </w:r>
      <w:r>
        <w:rPr>
          <w:rFonts w:hint="eastAsia" w:ascii="华文仿宋" w:hAnsi="华文仿宋" w:eastAsia="华文仿宋" w:cs="华文仿宋"/>
          <w:sz w:val="32"/>
          <w:szCs w:val="32"/>
        </w:rPr>
        <w:t>以及各相关部门的职责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规划与建设，主要规定了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汽车加氢站规划与建设的相关要求，明确了汽车加氢站的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规划、建设、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运营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应符合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的法律法规文件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（三）经营与服务，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主要规定了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汽车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zh-TW" w:eastAsia="zh-TW" w:bidi="zh-TW"/>
        </w:rPr>
        <w:t>加氢站经营实行许可制度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zh-TW" w:eastAsia="zh-CN" w:bidi="zh-TW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zh-TW"/>
        </w:rPr>
        <w:t>明确了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zh-TW" w:eastAsia="zh-TW" w:bidi="zh-TW"/>
        </w:rPr>
        <w:t>从事汽车加氢经营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zh-TW"/>
        </w:rPr>
        <w:t>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zh-TW" w:eastAsia="zh-TW" w:bidi="zh-TW"/>
        </w:rPr>
        <w:t>企业应具备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zh-TW"/>
        </w:rPr>
        <w:t>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zh-TW" w:eastAsia="zh-TW" w:bidi="zh-TW"/>
        </w:rPr>
        <w:t>条件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zh-TW"/>
        </w:rPr>
        <w:t>以及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申请经营许可证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所需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材料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（四）安全与应急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规定了汽车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加氢站经营企业应当建立安全责任制，健全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加氢站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安全保障体系，制定本单位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汽车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加氢站安全事故应急预案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（五）法律责任，明确了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/>
        </w:rPr>
        <w:t>违反</w:t>
      </w:r>
      <w:r>
        <w:rPr>
          <w:rFonts w:hint="eastAsia" w:ascii="华文仿宋" w:hAnsi="华文仿宋" w:eastAsia="华文仿宋" w:cs="华文仿宋"/>
          <w:sz w:val="32"/>
          <w:szCs w:val="32"/>
        </w:rPr>
        <w:t>《办法》的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处理处罚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（六）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附则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明确</w:t>
      </w:r>
      <w:r>
        <w:rPr>
          <w:rFonts w:hint="eastAsia" w:ascii="华文仿宋" w:hAnsi="华文仿宋" w:eastAsia="华文仿宋" w:cs="华文仿宋"/>
          <w:sz w:val="32"/>
          <w:szCs w:val="32"/>
        </w:rPr>
        <w:t>《办法》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自印发之日起生效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2022年8月19日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8D6893"/>
    <w:rsid w:val="75AFC772"/>
    <w:rsid w:val="7DCF6E1F"/>
    <w:rsid w:val="8BFB6370"/>
    <w:rsid w:val="ABDDD1EC"/>
    <w:rsid w:val="B9AE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-210" w:firstLine="420" w:firstLineChars="200"/>
      <w:jc w:val="both"/>
    </w:pPr>
    <w:rPr>
      <w:rFonts w:ascii="宋体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ind w:left="-210" w:firstLine="490" w:firstLineChars="175"/>
      <w:jc w:val="both"/>
    </w:pPr>
    <w:rPr>
      <w:rFonts w:ascii="宋体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uiPriority w:val="0"/>
    <w:pPr>
      <w:spacing w:before="100" w:beforeLines="0" w:beforeAutospacing="1" w:after="100" w:afterLines="0" w:afterAutospacing="1"/>
    </w:pPr>
    <w:rPr>
      <w:sz w:val="24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291</Words>
  <Characters>1664</Characters>
  <Lines>13</Lines>
  <Paragraphs>3</Paragraphs>
  <TotalTime>5.33333333333333</TotalTime>
  <ScaleCrop>false</ScaleCrop>
  <LinksUpToDate>false</LinksUpToDate>
  <CharactersWithSpaces>1952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2012-06-07T17:30:00Z</dcterms:created>
  <dc:creator>lenovo</dc:creator>
  <cp:lastModifiedBy>sugon</cp:lastModifiedBy>
  <cp:lastPrinted>2020-01-03T23:51:31Z</cp:lastPrinted>
  <dcterms:modified xsi:type="dcterms:W3CDTF">2022-08-22T11:04:27Z</dcterms:modified>
  <dc:title>《郑州市城市管理局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